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den Beschluß, durch den die Todeserklärung aufgehoben wird, findet kein Rechtsmittel statt.</w:t>
      </w:r>
    </w:p>
    <w:p>
      <w:r>
        <w:t xml:space="preserve">(2) Gegen den Beschluß, durch den die Aufhebung der Todeserklärung abgelehnt wird, kann der Antragsteller die sofortige Beschwerde erheben.</w:t>
      </w:r>
    </w:p>
    <w:p>
      <w:r>
        <w:rPr>
          <w:color w:val="555555"/>
          <w:sz w:val="17"/>
        </w:rPr>
        <w:t xml:space="preserve">Zitiervorschlag: § 33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