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Beschluß, durch den die Todeserklärung aufgehoben wird, ist in der gleichen Form öffentlich bekanntzumachen, in der die Todeserklärung bekanntgemacht worden ist. § 20 Abs. 2 ist entsprechend anzuwenden.</w:t>
      </w:r>
    </w:p>
    <w:p>
      <w:r>
        <w:t xml:space="preserve">(2) Der Beschluß, durch den die Aufhebung der Todeserklärung abgelehnt wird, ist dem Antragsteller und dem Staatsanwalt zuzustellen.</w:t>
      </w:r>
    </w:p>
    <w:p>
      <w:r>
        <w:rPr>
          <w:color w:val="555555"/>
          <w:sz w:val="17"/>
        </w:rPr>
        <w:t xml:space="preserve">Zitiervorschlag: § 32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