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Verfahren gelten die §§ 17 und 18.</w:t>
      </w:r>
    </w:p>
    <w:p>
      <w:r>
        <w:t xml:space="preserve">(2) Vor der Entscheidung ist den Antragsberechtigten und dem, der die Todeserklärung erwirkt hat, Gelegenheit zur Äußerung zu geben.</w:t>
      </w:r>
    </w:p>
    <w:p>
      <w:r>
        <w:rPr>
          <w:color w:val="555555"/>
          <w:sz w:val="17"/>
        </w:rPr>
        <w:t xml:space="preserve">Zitiervorschlag: § 31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