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Beschlüsse des Amtsgerichts, durch welche die Todeserklärung ausgesprochen wird, werden mit ihrer Rechtskraft wirksam.</w:t>
      </w:r>
    </w:p>
    <w:p>
      <w:r>
        <w:t xml:space="preserve">(2) (weggefallen)</w:t>
      </w:r>
    </w:p>
    <w:p>
      <w:r>
        <w:t xml:space="preserve">(3) Beschlüsse, die auf Rechtsbeschwerde ergehen, werden mit der letzten Zustellung wirksam; § 24 Abs. 3 bleibt unberührt.</w:t>
      </w:r>
    </w:p>
    <w:p>
      <w:r>
        <w:rPr>
          <w:color w:val="555555"/>
          <w:sz w:val="17"/>
        </w:rPr>
        <w:t xml:space="preserve">Zitiervorschlag: § 29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