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Beschlüsse, die auf Rechtsbeschwerde ergehen, sind dem Beschwerdeführer und dem Staatsanwalt zuzustellen, auch wenn sie nicht den in §§ 24 oder 25 bezeichneten Inhalt haben.</w:t>
      </w:r>
    </w:p>
    <w:p>
      <w:r>
        <w:t xml:space="preserve">(2) Bei Beschlüssen, die auf Rechtsbeschwerde ergehen, kann das Gericht von der Anwendung des § 24 Abs. 1 absehen, wenn die Todeserklärung bereits vom Amtsgericht oder vom Beschwerdegericht öffentlich bekanntgemacht worden war.</w:t>
      </w:r>
    </w:p>
    <w:p>
      <w:r>
        <w:rPr>
          <w:color w:val="555555"/>
          <w:sz w:val="17"/>
        </w:rPr>
        <w:t xml:space="preserve">Zitiervorschlag: § 28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