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Zwischen dem Tage an dem das Aufgebot zum ersten Mal durch eine Tageszeitung oder den Bundesanzeiger öffentlich bekanntgemacht ist, und dem nach § 19 Abs. 2 Buchstabe b bestimmten Zeitpunkt muß eine Frist (Aufgebotsfrist) von mindestens sechs Wochen liegen.</w:t>
      </w:r>
    </w:p>
    <w:p>
      <w:r>
        <w:t xml:space="preserve">(2) Die Aufgebotsfrist soll, wenn nicht besondere Gründe vorliegen, nicht mehr als ein Jahr betragen.</w:t>
      </w:r>
    </w:p>
    <w:p>
      <w:r>
        <w:t xml:space="preserve">(3) Ist das Aufgebot öffentlich bekanntgemacht, so kann die Aufgebotsfrist nicht mehr abgekürzt werden.</w:t>
      </w:r>
    </w:p>
    <w:p>
      <w:r>
        <w:rPr>
          <w:color w:val="555555"/>
          <w:sz w:val="17"/>
        </w:rPr>
        <w:t xml:space="preserve">Zitiervorschlag: § 21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