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Aufgebot muß durch eine Tageszeitung öffentlich bekanntgemacht werden. Das Gericht kann abweichend anordnen, daß eine einmalige Einrückung in den Bundesanzeiger erfolgt, wenn dies dem Zweck des Aufgebots dienlich ist.</w:t>
      </w:r>
    </w:p>
    <w:p>
      <w:r>
        <w:t xml:space="preserve">(2) Das Gericht kann anordnen, daß das Aufgebot daneben in anderer Weise, insbesondere durch Rundfunk, öffentlich bekanntgemacht wird. Das Aufgebot soll an die Gerichtstafel angeheftet werden.</w:t>
      </w:r>
    </w:p>
    <w:p>
      <w:r>
        <w:rPr>
          <w:color w:val="555555"/>
          <w:sz w:val="17"/>
        </w:rPr>
        <w:t xml:space="preserve">Zitiervorschlag: § 20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