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VerschG</w:t>
      </w:r>
    </w:p>
    <w:p>
      <w:r>
        <w:rPr>
          <w:color w:val="555555"/>
          <w:sz w:val="18"/>
        </w:rPr>
        <w:t xml:space="preserve">Verschollenheitsgesetz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Verschollener kann unter den Voraussetzungen der §§ 3 bis 7 im Aufgebotsverfahren für tot erklärt werden.</w:t>
      </w:r>
    </w:p>
    <w:p>
      <w:r>
        <w:rPr>
          <w:color w:val="555555"/>
          <w:sz w:val="17"/>
        </w:rPr>
        <w:t xml:space="preserve">Zitiervorschlag: § 2 VerschG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