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Antrag zulässig, so hat das Gericht das Aufgebot zu erlassen.</w:t>
      </w:r>
    </w:p>
    <w:p>
      <w:r>
        <w:t xml:space="preserve">(2) In das Aufgebot ist insbesondere aufzunehmen:</w:t>
      </w:r>
    </w:p>
    <w:p>
      <w:pPr>
        <w:ind w:left="780"/>
      </w:pPr>
      <w:r>
        <w:t xml:space="preserve">a) die Bezeichnung des Antragstellers;</w:t>
      </w:r>
    </w:p>
    <w:p>
      <w:pPr>
        <w:ind w:left="780"/>
      </w:pPr>
      <w:r>
        <w:t xml:space="preserve">b) die Aufforderung an den Verschollenen, sich bis zu einem bestimmten Zeitpunkt zu melden, widrigenfalls er für tot erklärt werden könne;</w:t>
      </w:r>
    </w:p>
    <w:p>
      <w:pPr>
        <w:ind w:left="780"/>
      </w:pPr>
      <w:r>
        <w:t xml:space="preserve">c) die Aufforderung an alle, die Auskunft über den Verschollenen geben können, dem Gericht bis zu dem nach Buchstabe b bestimmten Zeitpunkt Anzeige zu machen.</w:t>
      </w:r>
    </w:p>
    <w:p>
      <w:r>
        <w:rPr>
          <w:color w:val="555555"/>
          <w:sz w:val="17"/>
        </w:rPr>
        <w:t xml:space="preserve">Zitiervorschlag: § 19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