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Aufgebotsverfahren wird nur auf Antrag eingeleitet.</w:t>
      </w:r>
    </w:p>
    <w:p>
      <w:r>
        <w:t xml:space="preserve">(2) Den Antrag können stellen:</w:t>
      </w:r>
    </w:p>
    <w:p>
      <w:pPr>
        <w:ind w:left="420"/>
      </w:pPr>
      <w:r>
        <w:t xml:space="preserve">a) der Staatsanwalt;</w:t>
      </w:r>
    </w:p>
    <w:p>
      <w:pPr>
        <w:ind w:left="420"/>
      </w:pPr>
      <w:r>
        <w:t xml:space="preserve">b) der gesetzliche Vertreter des Verschollenen;</w:t>
      </w:r>
    </w:p>
    <w:p>
      <w:pPr>
        <w:ind w:left="420"/>
      </w:pPr>
      <w:r>
        <w:t xml:space="preserve">c) der Ehegatte, der Lebenspartner, die Abkömmlinge und die Eltern des Verschollenen sowie jeder andere, der ein rechtliches Interesse an der Todeserklärung hat.</w:t>
      </w:r>
    </w:p>
    <w:p>
      <w:r>
        <w:t xml:space="preserve">(3) Der Inhaber der elterlichen Sorge, Vormund oder Pfleger kann den Antrag nur mit Genehmigung des Familiengerichts, der Betreuer nur mit Genehmigung des Betreuungsgerichts stellen.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16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