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Ist ein Gerichtsstand nach § 15 nicht begründet oder wird am Sitze des nach § 15 zuständigen Gerichts eine deutsche Gerichtsbarkeit nicht mehr ausgeübt, so ist das Gericht zuständig, in dessen Bezirk der erste Antragsteller seinen Wohnsitz oder in Ermangelung eines Wohnsitzes im Geltungsbereich dieses Gesetzes seinen gewöhnlichen Aufenthalt hat.</w:t>
      </w:r>
    </w:p>
    <w:p>
      <w:r>
        <w:t xml:space="preserve">(2) Ein Gericht soll auf Grund des Absatzes 1 nur tätig werden, wenn es dem Amtsgericht Berlin-Schöneberg seine Absicht angezeigt hat, ein Verfahren nach diesem Gesetz durchzuführen, und das Amtsgericht Berlin-Schöneberg bestätigt hat, daß eine frühere Anzeige gleichen Inhalts von einem anderen Gericht bei ihm nicht eingegangen ist.</w:t>
      </w:r>
    </w:p>
    <w:p>
      <w:r>
        <w:rPr>
          <w:color w:val="555555"/>
          <w:sz w:val="17"/>
        </w:rPr>
        <w:t xml:space="preserve">Zitiervorschlag: § 15a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