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Örtlich zuständig ist das Gericht, in dessen Bezirk der Verschollene seinen letzten inländischen Wohnsitz oder in Ermangelung eines inländischen Wohnsitzes seinen letzten gewöhnlichen Aufenthalt im Inland gehabt hat.</w:t>
      </w:r>
    </w:p>
    <w:p>
      <w:r>
        <w:t xml:space="preserve">(2) Ist die Verschollenheit durch den Untergang eines in einem deutschen Schiffsregister eingetragenen Schiffes begründet, so ist an Stelle des in Absatz 1 genannten Gerichts das Gericht des Heimathafens oder Heimatortes zuständig. Dieses Gericht kann jedoch die Sache aus wichtigem Grund an ein anderes Gericht abgeben.</w:t>
      </w:r>
    </w:p>
    <w:p>
      <w:r>
        <w:rPr>
          <w:color w:val="555555"/>
          <w:sz w:val="17"/>
        </w:rPr>
        <w:t xml:space="preserve">Zitiervorschlag: § 15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