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Aufgebotsverfahren nach § 2 ist eine Angelegenheit der freiwilligen Gerichtsbarkeit.</w:t>
      </w:r>
    </w:p>
    <w:p>
      <w:r>
        <w:t xml:space="preserve">(2) Es gelten dafür die besonderen Vorschriften der §§ 14 bis 38.</w:t>
      </w:r>
    </w:p>
    <w:p>
      <w:r>
        <w:rPr>
          <w:color w:val="555555"/>
          <w:sz w:val="17"/>
        </w:rPr>
        <w:t xml:space="preserve">Zitiervorschlag: § 13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