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Anhang EV VerschÄndG — Auszug aus EinigVtr Anlage I Kapitel III Sachgebiet B Abschnitt III (BGBl. II 1990, 889, 953)</w:t>
      </w:r>
    </w:p>
    <w:p>
      <w:r>
        <w:rPr>
          <w:color w:val="555555"/>
          <w:sz w:val="18"/>
        </w:rPr>
        <w:t xml:space="preserve">Gesetz zur Änderung von Vorschriften des Verschollenheitsrechts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 ...</w:t>
      </w:r>
    </w:p>
    <w:p>
      <w:pPr>
        <w:ind w:left="420"/>
      </w:pPr>
      <w:r>
        <w:t xml:space="preserve">9. ... Gesetz zur Änderung von Vorschriften des Verschollenheitsrechts in der im Bundesgesetzblatt Teil III, Gliederungsnummer 401-7, veröffentlichten Fassung... mit folgenden Maßgaben:</w:t>
      </w:r>
    </w:p>
    <w:p>
      <w:pPr>
        <w:ind w:left="780"/>
      </w:pPr>
      <w:r>
        <w:t xml:space="preserve">a) Die Vorschriften dieser Gesetze sind auf Verfahren, die vor dem Wirksamwerden des Beitritts in dem in Artikel 3 des Vertrags genannten Gebiet bereits eingeleitet sind, nicht anzuwenden. Solche Verfahren sind auf der Grundlage des bislang in dem in Artikel 3 des Vertrages genannten Gebiet geltenden Rechts abzuschließen.</w:t>
      </w:r>
    </w:p>
    <w:p>
      <w:pPr>
        <w:ind w:left="780"/>
      </w:pPr>
      <w:r>
        <w:t xml:space="preserve">b) Die Wirkung einer vor dem Wirksamwerden des Beitritts erfolgten Todeserklärung bestimmt sich nach dem bislang in dem in Artikel 3 des Vertrages genannten Gebiet geltenden Recht.</w:t>
      </w:r>
    </w:p>
    <w:p>
      <w:r>
        <w:rPr>
          <w:color w:val="555555"/>
          <w:sz w:val="17"/>
        </w:rPr>
        <w:t xml:space="preserve">Zitiervorschlag: Anhang EV VerschÄndG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https://recht.nulegal.eu/gesetze/Versch%C3%84ndG/anhang-ev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