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7 VerschÄndG</w:t>
      </w:r>
    </w:p>
    <w:p>
      <w:r>
        <w:rPr>
          <w:color w:val="555555"/>
          <w:sz w:val="18"/>
        </w:rPr>
        <w:t xml:space="preserve">Gesetz zur Änderung von Vorschriften des Verschollenheitsrechts</w:t>
      </w:r>
    </w:p>
    <w:p>
      <w:r>
        <w:rPr>
          <w:color w:val="555555"/>
          <w:sz w:val="18"/>
        </w:rPr>
        <w:t xml:space="preserve">Stand: 10.06.2019 (konsolidierte Textfassung, kein amtliches Inkrafttretensdatum)</w:t>
      </w:r>
    </w:p>
    <w:p>
      <w:r>
        <w:t xml:space="preserve">Lebte der Verschollene außerhalb des Geltungsbereichs dieses Gesetzes an seinem letzten inländischen Wohnsitz mit Familienangehörigen in Hausgemeinschaft und haben diese Angehörigen zur Zeit der Antragstellung ihren Wohnsitz oder in Ermangelung eines Wohnsitzes ihren gewöhnlichen Aufenthalt im Geltungsbereich dieses Gesetzes, so ist § 15 Abs. 1 des Verschollenheitsgesetzes nicht anzuwenden.</w:t>
      </w:r>
    </w:p>
    <w:p>
      <w:r>
        <w:rPr>
          <w:color w:val="555555"/>
          <w:sz w:val="17"/>
        </w:rPr>
        <w:t xml:space="preserve">Zitiervorschlag: Art 2 § 7 VerschÄndG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https://recht.nulegal.eu/gesetze/Versch%C3%84ndG/2-7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