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4 VerschÄndG</w:t>
      </w:r>
    </w:p>
    <w:p>
      <w:r>
        <w:rPr>
          <w:color w:val="555555"/>
          <w:sz w:val="18"/>
        </w:rPr>
        <w:t xml:space="preserve">Gesetz zur Änderung von Vorschriften des Verschollenheitsrechts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2, 3 sind im Verfahren bei Feststellung der Todeszeit entsprechend anzuwenden.</w:t>
      </w:r>
    </w:p>
    <w:p>
      <w:r>
        <w:rPr>
          <w:color w:val="555555"/>
          <w:sz w:val="17"/>
        </w:rPr>
        <w:t xml:space="preserve">Zitiervorschlag: Art 2 § 4 VerschÄndG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https://recht.nulegal.eu/gesetze/Versch%C3%84ndG/2-4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