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1 VerschÄndG</w:t>
      </w:r>
    </w:p>
    <w:p>
      <w:r>
        <w:rPr>
          <w:color w:val="555555"/>
          <w:sz w:val="18"/>
        </w:rPr>
        <w:t xml:space="preserve">Gesetz zur Änderung von Vorschriften des Verschollenheitsrechts</w:t>
      </w:r>
    </w:p>
    <w:p>
      <w:r>
        <w:rPr>
          <w:color w:val="555555"/>
          <w:sz w:val="18"/>
        </w:rPr>
        <w:t xml:space="preserve">Stand: 10.06.2019 (konsolidierte Textfassung, kein amtliches Inkrafttretensdatum)</w:t>
      </w:r>
    </w:p>
    <w:p>
      <w:r>
        <w:t xml:space="preserve">(1) Wer vor dem 1. Juli 1948 im Zusammenhang mit Ereignissen oder Zuständen des letzten Krieges vermißt worden und seitdem unter Umständen, die ernstliche Zweifel an seinem Fortleben begründen, verschollen ist, kann für tot erklärt werden.</w:t>
      </w:r>
    </w:p>
    <w:p>
      <w:r>
        <w:t xml:space="preserve">(2) Wer in dem letzten Zeitpunkt, in dem er nach den vorhandenen Nachrichten noch gelebt hat, infolge Gefangennahme oder infolge einer gegen ihn gerichteten Zwangsmaßnahme seinen Aufenthalt nicht frei bestimmen konnte und seit diesem Zeitpunkt unter Umständen, die ernstliche Zweifel an seinem Fortleben begründen, verschollen ist, kann jedoch erst für tot erklärt werden, wenn nach dem Ende des Jahres, in dem er noch gelebt hat, fünf Jahre verstrichen sind. War der Verschollene in dem bezeichneten Zeitpunkt in Lebensgefahr, so tritt an die Stelle der Frist von fünf Jahren eine solche von einem Jahr.</w:t>
      </w:r>
    </w:p>
    <w:p>
      <w:r>
        <w:t xml:space="preserve">(3) §§ 4 bis 8 des Verschollenheitsgesetzes sind nicht anzuwenden.</w:t>
      </w:r>
    </w:p>
    <w:p>
      <w:r>
        <w:t xml:space="preserve">(4) Die Absätze 1 bis 3 gelten auch für einen Verschollenen, der in dem letzten Zeitpunkt, in dem er nach den vorhandenen Nachrichten noch gelebt hat, Angehöriger eines fremden Staates oder staatenlos war,</w:t>
      </w:r>
    </w:p>
    <w:p>
      <w:pPr>
        <w:ind w:left="780"/>
      </w:pPr>
      <w:r>
        <w:t xml:space="preserve">a) wenn er in diesem Zeitpunkt seinen Wohnsitz oder seinen Aufenthalt im Geltungsbereich dieses Gesetzes hatte oder als Angehöriger der ehemaligen deutschen Wehrmacht am letzten Kriege teilgenommen hat, oder</w:t>
      </w:r>
    </w:p>
    <w:p>
      <w:pPr>
        <w:ind w:left="780"/>
      </w:pPr>
      <w:r>
        <w:t xml:space="preserve">b) wenn der Ehegatte, ein Abkömmling oder ein anderer nach § 16 des Verschollenheitsgesetzes antragsberechtigter Verwandter des Verschollenen seinen Wohnsitz oder seinen gewöhnlichen Aufenthalt im Geltungsbereich dieses Gesetzes hat und die Todeserklärung beantragt.</w:t>
      </w:r>
    </w:p>
    <w:p>
      <w:r>
        <w:t xml:space="preserve">§ 12 Abs. 2 und 3 des Verschollenheitsgesetzes bleiben unberührt.</w:t>
      </w:r>
    </w:p>
    <w:p>
      <w:r>
        <w:rPr>
          <w:color w:val="555555"/>
          <w:sz w:val="17"/>
        </w:rPr>
        <w:t xml:space="preserve">Zitiervorschlag: Art 2 § 1 VerschÄndG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https://recht.nulegal.eu/gesetze/Versch%C3%84ndG/2-1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