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VersatzV — (zu § 4)</w:t>
      </w:r>
    </w:p>
    <w:p>
      <w:r>
        <w:rPr>
          <w:color w:val="555555"/>
          <w:sz w:val="18"/>
        </w:rPr>
        <w:t xml:space="preserve">Versatzverordnung</w:t>
      </w:r>
    </w:p>
    <w:p>
      <w:r>
        <w:rPr>
          <w:color w:val="555555"/>
          <w:sz w:val="18"/>
        </w:rPr>
        <w:t xml:space="preserve">Stand: 10.06.2019 (konsolidierte Textfassung, kein amtliches Inkrafttretensdatum)</w:t>
      </w:r>
    </w:p>
    <w:p>
      <w:r>
        <w:t xml:space="preserve">(Fundstelle des Originaltextes: BGBl. I 2002, 2835 - 2836; bzgl. der einzelnen Änderungen Vgl. Fußnote)</w:t>
      </w:r>
    </w:p>
    <w:p>
      <w:r>
        <w:rPr>
          <w:rFonts w:ascii="Courier New" w:hAnsi="Courier New"/>
          <w:sz w:val="17"/>
        </w:rPr>
        <w:t xml:space="preserve">Tabelle 1Grenzwerte für Feststoffe (nach § 4 Abs. 1 Satz 1)</w:t>
      </w:r>
    </w:p>
    <w:p>
      <w:r>
        <w:rPr>
          <w:rFonts w:ascii="Courier New" w:hAnsi="Courier New"/>
          <w:sz w:val="17"/>
        </w:rPr>
        <w:t xml:space="preserve">Element/Verbindung    Konzentration (mg/kg Trockenmasse)</w:t>
      </w:r>
    </w:p>
    <w:p>
      <w:r>
        <w:rPr>
          <w:rFonts w:ascii="Courier New" w:hAnsi="Courier New"/>
          <w:sz w:val="17"/>
        </w:rPr>
        <w:t xml:space="preserve">MKW    1.000</w:t>
      </w:r>
    </w:p>
    <w:p>
      <w:r>
        <w:rPr>
          <w:rFonts w:ascii="Courier New" w:hAnsi="Courier New"/>
          <w:sz w:val="17"/>
        </w:rPr>
        <w:t xml:space="preserve">BTEX    5</w:t>
      </w:r>
    </w:p>
    <w:p>
      <w:r>
        <w:rPr>
          <w:rFonts w:ascii="Courier New" w:hAnsi="Courier New"/>
          <w:sz w:val="17"/>
        </w:rPr>
        <w:t xml:space="preserve">LHKW    5</w:t>
      </w:r>
    </w:p>
    <w:p>
      <w:r>
        <w:rPr>
          <w:rFonts w:ascii="Courier New" w:hAnsi="Courier New"/>
          <w:sz w:val="17"/>
        </w:rPr>
        <w:t xml:space="preserve">PAK    20</w:t>
      </w:r>
    </w:p>
    <w:p>
      <w:r>
        <w:rPr>
          <w:rFonts w:ascii="Courier New" w:hAnsi="Courier New"/>
          <w:sz w:val="17"/>
        </w:rPr>
        <w:t xml:space="preserve">PCB    1</w:t>
      </w:r>
    </w:p>
    <w:p>
      <w:r>
        <w:rPr>
          <w:rFonts w:ascii="Courier New" w:hAnsi="Courier New"/>
          <w:sz w:val="17"/>
        </w:rPr>
        <w:t xml:space="preserve">Arsen (As)    150</w:t>
      </w:r>
    </w:p>
    <w:p>
      <w:r>
        <w:rPr>
          <w:rFonts w:ascii="Courier New" w:hAnsi="Courier New"/>
          <w:sz w:val="17"/>
        </w:rPr>
        <w:t xml:space="preserve">Blei (Pb)    1.000</w:t>
      </w:r>
    </w:p>
    <w:p>
      <w:r>
        <w:rPr>
          <w:rFonts w:ascii="Courier New" w:hAnsi="Courier New"/>
          <w:sz w:val="17"/>
        </w:rPr>
        <w:t xml:space="preserve">Cadmium (Cd)    10</w:t>
      </w:r>
    </w:p>
    <w:p>
      <w:r>
        <w:rPr>
          <w:rFonts w:ascii="Courier New" w:hAnsi="Courier New"/>
          <w:sz w:val="17"/>
        </w:rPr>
        <w:t xml:space="preserve">Chrom, gesamt (Cr)    600</w:t>
      </w:r>
    </w:p>
    <w:p>
      <w:r>
        <w:rPr>
          <w:rFonts w:ascii="Courier New" w:hAnsi="Courier New"/>
          <w:sz w:val="17"/>
        </w:rPr>
        <w:t xml:space="preserve">Kupfer (Cu)    600</w:t>
      </w:r>
    </w:p>
    <w:p>
      <w:r>
        <w:rPr>
          <w:rFonts w:ascii="Courier New" w:hAnsi="Courier New"/>
          <w:sz w:val="17"/>
        </w:rPr>
        <w:t xml:space="preserve">Nickel (Ni)    600</w:t>
      </w:r>
    </w:p>
    <w:p>
      <w:r>
        <w:rPr>
          <w:rFonts w:ascii="Courier New" w:hAnsi="Courier New"/>
          <w:sz w:val="17"/>
        </w:rPr>
        <w:t xml:space="preserve">Quecksilber (Hg)    10</w:t>
      </w:r>
    </w:p>
    <w:p>
      <w:r>
        <w:rPr>
          <w:rFonts w:ascii="Courier New" w:hAnsi="Courier New"/>
          <w:sz w:val="17"/>
        </w:rPr>
        <w:t xml:space="preserve">Zink (Zn)    1.500</w:t>
      </w:r>
    </w:p>
    <w:p>
      <w:r>
        <w:rPr>
          <w:rFonts w:ascii="Courier New" w:hAnsi="Courier New"/>
          <w:sz w:val="17"/>
        </w:rPr>
        <w:t xml:space="preserve">Cyanide, gesamt (CN(hoch)-)    100</w:t>
      </w:r>
    </w:p>
    <w:p>
      <w:r>
        <w:rPr>
          <w:rFonts w:ascii="Courier New" w:hAnsi="Courier New"/>
          <w:sz w:val="17"/>
        </w:rPr>
        <w:t xml:space="preserve">Tabelle 1aZuordnungswerte für Feststoffe (nach § 4 Abs. 3)</w:t>
      </w:r>
    </w:p>
    <w:p>
      <w:r>
        <w:rPr>
          <w:rFonts w:ascii="Courier New" w:hAnsi="Courier New"/>
          <w:sz w:val="17"/>
        </w:rPr>
        <w:t xml:space="preserve">Element/Verbindung    Konzentration (Masse-%)</w:t>
      </w:r>
    </w:p>
    <w:p>
      <w:r>
        <w:rPr>
          <w:rFonts w:ascii="Courier New" w:hAnsi="Courier New"/>
          <w:sz w:val="17"/>
        </w:rPr>
        <w:t xml:space="preserve">Organischer Anteil des Trockenrückstandes der Originalsubstanz, bestimmt als    </w:t>
      </w:r>
    </w:p>
    <w:p>
      <w:r>
        <w:rPr>
          <w:rFonts w:ascii="Courier New" w:hAnsi="Courier New"/>
          <w:sz w:val="17"/>
        </w:rPr>
        <w:t xml:space="preserve">TOC    &lt;= 6 1)</w:t>
      </w:r>
    </w:p>
    <w:p>
      <w:r>
        <w:rPr>
          <w:rFonts w:ascii="Courier New" w:hAnsi="Courier New"/>
          <w:sz w:val="17"/>
        </w:rPr>
        <w:t xml:space="preserve">Glühverlust    &lt;= 12 1)</w:t>
      </w:r>
    </w:p>
    <w:p>
      <w:r>
        <w:rPr>
          <w:rFonts w:ascii="Courier New" w:hAnsi="Courier New"/>
          <w:sz w:val="17"/>
        </w:rPr>
        <w:t xml:space="preserve">1)Eine Überschreitung des Werts ist unter der im Einzelfall festzustellenden Voraussetzung zulässig, dass sie nicht auf Abfallbestandteile zurückzuführen ist, die zu gefährlicher Gasbildung oder zu einer Erhöhung der Brandlast im Grubengebäude führen.</w:t>
      </w:r>
    </w:p>
    <w:p>
      <w:r>
        <w:rPr>
          <w:rFonts w:ascii="Courier New" w:hAnsi="Courier New"/>
          <w:sz w:val="17"/>
        </w:rPr>
        <w:t xml:space="preserve">Tabelle 2Grenzwerte für Eluat (nach § 4 Abs. 1 Satz 2)</w:t>
      </w:r>
    </w:p>
    <w:p>
      <w:r>
        <w:rPr>
          <w:rFonts w:ascii="Courier New" w:hAnsi="Courier New"/>
          <w:sz w:val="17"/>
        </w:rPr>
        <w:t xml:space="preserve">Anorganische Stoffe    Konzentration (in mikrog/l)</w:t>
      </w:r>
    </w:p>
    <w:p>
      <w:r>
        <w:rPr>
          <w:rFonts w:ascii="Courier New" w:hAnsi="Courier New"/>
          <w:sz w:val="17"/>
        </w:rPr>
        <w:t xml:space="preserve">Arsen (As)    10</w:t>
      </w:r>
    </w:p>
    <w:p>
      <w:r>
        <w:rPr>
          <w:rFonts w:ascii="Courier New" w:hAnsi="Courier New"/>
          <w:sz w:val="17"/>
        </w:rPr>
        <w:t xml:space="preserve">Blei (Pb)    25</w:t>
      </w:r>
    </w:p>
    <w:p>
      <w:r>
        <w:rPr>
          <w:rFonts w:ascii="Courier New" w:hAnsi="Courier New"/>
          <w:sz w:val="17"/>
        </w:rPr>
        <w:t xml:space="preserve">Cadmium (Cd)    5</w:t>
      </w:r>
    </w:p>
    <w:p>
      <w:r>
        <w:rPr>
          <w:rFonts w:ascii="Courier New" w:hAnsi="Courier New"/>
          <w:sz w:val="17"/>
        </w:rPr>
        <w:t xml:space="preserve">Chrom, gesamt (Cr)    50</w:t>
      </w:r>
    </w:p>
    <w:p>
      <w:r>
        <w:rPr>
          <w:rFonts w:ascii="Courier New" w:hAnsi="Courier New"/>
          <w:sz w:val="17"/>
        </w:rPr>
        <w:t xml:space="preserve">Chromat (Cr VI)    8</w:t>
      </w:r>
    </w:p>
    <w:p>
      <w:r>
        <w:rPr>
          <w:rFonts w:ascii="Courier New" w:hAnsi="Courier New"/>
          <w:sz w:val="17"/>
        </w:rPr>
        <w:t xml:space="preserve">Kupfer (Cu)    50</w:t>
      </w:r>
    </w:p>
    <w:p>
      <w:r>
        <w:rPr>
          <w:rFonts w:ascii="Courier New" w:hAnsi="Courier New"/>
          <w:sz w:val="17"/>
        </w:rPr>
        <w:t xml:space="preserve">Nickel (Ni)    50</w:t>
      </w:r>
    </w:p>
    <w:p>
      <w:r>
        <w:rPr>
          <w:rFonts w:ascii="Courier New" w:hAnsi="Courier New"/>
          <w:sz w:val="17"/>
        </w:rPr>
        <w:t xml:space="preserve">Quecksilber (Hg)    1</w:t>
      </w:r>
    </w:p>
    <w:p>
      <w:r>
        <w:rPr>
          <w:rFonts w:ascii="Courier New" w:hAnsi="Courier New"/>
          <w:sz w:val="17"/>
        </w:rPr>
        <w:t xml:space="preserve">Zink (Zn)    500</w:t>
      </w:r>
    </w:p>
    <w:p>
      <w:r>
        <w:rPr>
          <w:rFonts w:ascii="Courier New" w:hAnsi="Courier New"/>
          <w:sz w:val="17"/>
        </w:rPr>
        <w:t xml:space="preserve">Cyanid, gesamt (CN(hoch)-)    50</w:t>
      </w:r>
    </w:p>
    <w:p>
      <w:r>
        <w:rPr>
          <w:rFonts w:ascii="Courier New" w:hAnsi="Courier New"/>
          <w:sz w:val="17"/>
        </w:rPr>
        <w:t xml:space="preserve">Cyanid, leicht freisetzbar (CN(hoch)-)    10</w:t>
      </w:r>
    </w:p>
    <w:p>
      <w:r>
        <w:rPr>
          <w:rFonts w:ascii="Courier New" w:hAnsi="Courier New"/>
          <w:sz w:val="17"/>
        </w:rPr>
        <w:t xml:space="preserve">Organische Stoffe    Konzentration (in mikrog/l)</w:t>
      </w:r>
    </w:p>
    <w:p>
      <w:r>
        <w:rPr>
          <w:rFonts w:ascii="Courier New" w:hAnsi="Courier New"/>
          <w:sz w:val="17"/>
        </w:rPr>
        <w:t xml:space="preserve">PAK, gesamt 1)    0,2</w:t>
      </w:r>
    </w:p>
    <w:p>
      <w:r>
        <w:rPr>
          <w:rFonts w:ascii="Courier New" w:hAnsi="Courier New"/>
          <w:sz w:val="17"/>
        </w:rPr>
        <w:t xml:space="preserve">- Naphthalin    2</w:t>
      </w:r>
    </w:p>
    <w:p>
      <w:r>
        <w:rPr>
          <w:rFonts w:ascii="Courier New" w:hAnsi="Courier New"/>
          <w:sz w:val="17"/>
        </w:rPr>
        <w:t xml:space="preserve">LHKW, gesamt 2)    10</w:t>
      </w:r>
    </w:p>
    <w:p>
      <w:r>
        <w:rPr>
          <w:rFonts w:ascii="Courier New" w:hAnsi="Courier New"/>
          <w:sz w:val="17"/>
        </w:rPr>
        <w:t xml:space="preserve">PCB, gesamt 3)    0,05</w:t>
      </w:r>
    </w:p>
    <w:p>
      <w:r>
        <w:rPr>
          <w:rFonts w:ascii="Courier New" w:hAnsi="Courier New"/>
          <w:sz w:val="17"/>
        </w:rPr>
        <w:t xml:space="preserve">Mineralölkohlenwasserstoffe 4)    200</w:t>
      </w:r>
    </w:p>
    <w:p>
      <w:r>
        <w:rPr>
          <w:rFonts w:ascii="Courier New" w:hAnsi="Courier New"/>
          <w:sz w:val="17"/>
        </w:rPr>
        <w:t xml:space="preserve">BTEX 5)    20</w:t>
      </w:r>
    </w:p>
    <w:p>
      <w:r>
        <w:t xml:space="preserve">Für Salzbelastung (SO(tief)4(hoch)2-, CI(hoch)-, F(hoch)-) soll eine Gesamtleitfähigkeit von 500 mikroS/cm gelten. Der pH-Wert soll im Bereich von 5,5 bis 13 liegen. Der wasserlösliche Anteil (Abdampfrückstand) soll 3 Masse-% nicht überschreiten. -----</w:t>
      </w:r>
    </w:p>
    <w:p>
      <w:pPr>
        <w:ind w:left="420"/>
      </w:pPr>
      <w:r>
        <w:t xml:space="preserve">1) PAK, gesamt: Summe der polycyclischen aromatischen Kohlenwasserstoffe ohne Naphthalin und Methylnaphthalin, in der Regel Bestimmung über die Summe von 15 Einzelsubstanzen gemäß Liste der US Environmental Protection Agency (EPA) ohne Naphthalin; ggf. unter Berücksichtigung weiterer relevanter PAK (z. B. Chinoline).</w:t>
      </w:r>
    </w:p>
    <w:p>
      <w:pPr>
        <w:ind w:left="420"/>
      </w:pPr>
      <w:r>
        <w:t xml:space="preserve">2) LHKW, gesamt: Leichtflüchtige Halogenkohlenwasserstoffe, d. h. Summe der halogenierten C1- und C2-Kohlenwasserstoffe.</w:t>
      </w:r>
    </w:p>
    <w:p>
      <w:pPr>
        <w:ind w:left="420"/>
      </w:pPr>
      <w:r>
        <w:t xml:space="preserve">3) PCB, gesamt: Summe der polychlorierten Biphenyle; in der Regel Bestimmung über die 6 Kongenere nach Ballschmiter multipliziert mit dem Faktor 5.</w:t>
      </w:r>
    </w:p>
    <w:p>
      <w:pPr>
        <w:ind w:left="420"/>
      </w:pPr>
      <w:r>
        <w:t xml:space="preserve">4) n-Alkane (C10 ... C39), Isoalkane, Cycloalkane und aromatische Kohlenwasserstoffe.</w:t>
      </w:r>
    </w:p>
    <w:p>
      <w:pPr>
        <w:ind w:left="420"/>
      </w:pPr>
      <w:r>
        <w:t xml:space="preserve">5) BTEX-Aromaten, gesamt: Leichtflüchtige aromatische Kohlenwasserstoffe (Benzol, Toluol, Xylole, Ethylbenzol, Styrol, Cumol).</w:t>
      </w:r>
    </w:p>
    <w:p>
      <w:r>
        <w:rPr>
          <w:color w:val="555555"/>
          <w:sz w:val="17"/>
        </w:rPr>
        <w:t xml:space="preserve">Zitiervorschlag: Anlage 2 VersatzV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https://recht.nulegal.eu/gesetze/VersatzV/anlage-2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