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VersatzV — Ordnungswidrigkeiten</w:t>
      </w:r>
    </w:p>
    <w:p>
      <w:r>
        <w:rPr>
          <w:color w:val="555555"/>
          <w:sz w:val="18"/>
        </w:rPr>
        <w:t xml:space="preserve">Versatzverordnung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69 Absatz 1 Nummer 8 des Kreislaufwirtschaftsgesetzes handelt, wer vorsätzlich oder fahrlässig</w:t>
      </w:r>
    </w:p>
    <w:p>
      <w:pPr>
        <w:ind w:left="420"/>
      </w:pPr>
      <w:r>
        <w:t xml:space="preserve">1. entgegen § 3 oder § 4 Abs. 1 Satz 1 Abfälle zur Herstellung von Versatzmaterial oder als Versatzmaterial einsetzt oder</w:t>
      </w:r>
    </w:p>
    <w:p>
      <w:pPr>
        <w:ind w:left="420"/>
      </w:pPr>
      <w:r>
        <w:t xml:space="preserve">2. entgegen § 5 Abfälle in den Verkehr bringt.</w:t>
      </w:r>
    </w:p>
    <w:p>
      <w:r>
        <w:rPr>
          <w:color w:val="555555"/>
          <w:sz w:val="17"/>
        </w:rPr>
        <w:t xml:space="preserve">Zitiervorschlag: § 7 VersatzV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https://recht.nulegal.eu/gesetze/VersatzV/7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