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VersatzV — Übergangsregelung</w:t>
      </w:r>
    </w:p>
    <w:p>
      <w:r>
        <w:rPr>
          <w:color w:val="555555"/>
          <w:sz w:val="18"/>
        </w:rPr>
        <w:t xml:space="preserve">Versatzverordnung</w:t>
      </w:r>
    </w:p>
    <w:p>
      <w:r>
        <w:rPr>
          <w:color w:val="555555"/>
          <w:sz w:val="18"/>
        </w:rPr>
        <w:t xml:space="preserve">Stand: 10.06.2019 (konsolidierte Textfassung, kein amtliches Inkrafttretensdatum)</w:t>
      </w:r>
    </w:p>
    <w:p>
      <w:r>
        <w:t xml:space="preserve">Werden aufgrund von vor dem 30. Oktober 2002 geltenden bergrechtlichen Zulassungen oder abgeschlossenen rechtsgültigen Entsorgungsverträgen Abfälle zur Herstellung von Versatzmaterial oder unmittelbar als Versatzmaterial eingesetzt, so sind die Anforderungen der §§ 3, 4 und 5 nach Ablauf der Zulassungen und der vertraglichen Bindungen, spätestens jedoch ab 1. März 2006, einzuhalten.</w:t>
      </w:r>
    </w:p>
    <w:p>
      <w:r>
        <w:rPr>
          <w:color w:val="555555"/>
          <w:sz w:val="17"/>
        </w:rPr>
        <w:t xml:space="preserve">Zitiervorschlag: § 6 VersatzV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https://recht.nulegal.eu/gesetze/VersatzV/6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