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VersatzV — Vorrang der Rückgewinnung von Metallen</w:t>
      </w:r>
    </w:p>
    <w:p>
      <w:r>
        <w:rPr>
          <w:color w:val="555555"/>
          <w:sz w:val="18"/>
        </w:rPr>
        <w:t xml:space="preserve">Versatzverordnung</w:t>
      </w:r>
    </w:p>
    <w:p>
      <w:r>
        <w:rPr>
          <w:color w:val="555555"/>
          <w:sz w:val="18"/>
        </w:rPr>
        <w:t xml:space="preserve">Stand: 10.06.2019 (konsolidierte Textfassung, kein amtliches Inkrafttretensdatum)</w:t>
      </w:r>
    </w:p>
    <w:p>
      <w:r>
        <w:t xml:space="preserve">Abfälle, welche die in Anlage 1 aufgeführten Metallgehalte erreichen, dürfen weder zur Herstellung von Versatzmaterial noch unmittelbar als Versatzmaterial eingesetzt werden, wenn die Gewinnung der Metalle aus den Abfällen technisch möglich und wirtschaftlich zumutbar sowie unter Einhaltung der Anforderungen an die Zulässigkeit einer solchen Verwertung durchführbar ist.</w:t>
      </w:r>
    </w:p>
    <w:p>
      <w:r>
        <w:rPr>
          <w:color w:val="555555"/>
          <w:sz w:val="17"/>
        </w:rPr>
        <w:t xml:space="preserve">Zitiervorschlag: § 3 VersatzV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https://recht.nulegal.eu/gesetze/VersatzV/3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