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VersammlG — (zu § 15 Abs. 2)</w:t>
      </w:r>
    </w:p>
    <w:p>
      <w:r>
        <w:rPr>
          <w:color w:val="555555"/>
          <w:sz w:val="18"/>
        </w:rPr>
        <w:t xml:space="preserve">Versammlungsgesetz</w:t>
      </w:r>
    </w:p>
    <w:p>
      <w:r>
        <w:rPr>
          <w:color w:val="555555"/>
          <w:sz w:val="18"/>
        </w:rPr>
        <w:t xml:space="preserve">Stand: 10.06.2019 (konsolidierte Textfassung, kein amtliches Inkrafttretensdatum)</w:t>
      </w:r>
    </w:p>
    <w:p>
      <w:r>
        <w:t xml:space="preserve">Die Abgrenzung des Ortes nach § 15 Abs. 2 Satz 2 (Denkmal für die ermordeten Juden Europas) umfasst das Gebiet der Bundeshauptstadt Berlin, das umgrenzt wird durch die Ebertstraße, zwischen der Straße In den Ministergärten bzw. Lennestraße und der Umfahrung Platz des 18. März, einschließlich des unbefestigten Grünflächenbereichs Ebertpromenade und des Bereichs der unbefestigten Grünfläche im Bereich des J.-W.-von-Goethe-Denkmals, die Behrenstraße, zwischen Ebertstraße und Wilhelmstraße, die Cora-Berliner-Straße, die Gertrud-Kolmar-Straße, nördlich der Einmündung der Straße In den Ministergärten, die Hannah-Arendt-Straße, einschließlich der Verlängerung zur Wilhelmstraße. Die genannten Umgrenzungslinien sind einschließlich der Fahrbahnen, Gehwege und aller sonstigen zum Betreten oder Befahren bestimmten öffentlichen Flächen Bestandteil des Gebiets.</w:t>
      </w:r>
    </w:p>
    <w:p>
      <w:r>
        <w:rPr>
          <w:color w:val="555555"/>
          <w:sz w:val="17"/>
        </w:rPr>
        <w:t xml:space="preserve">Zitiervorschlag: Anlage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