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Leiter kann sich bei der Durchführung seiner Rechte aus § 8 der Hilfe einer angemessenen Zahl ehrenamtlicher Ordner bedienen. Diese dürfen keine Waffen oder sonstigen Gegenstände im Sinne vom § 2 Abs. 3 mit sich führen, müssen volljährig und ausschließlich durch weiße Armbinden, die nur die Bezeichnung "Ordner" tragen dürfen, kenntlich sein.</w:t>
      </w:r>
    </w:p>
    <w:p>
      <w:r>
        <w:t xml:space="preserve">(2) Der Leiter ist verpflichtet, die Zahl der von ihm bestellten Ordner der Polizei auf Anfordern mitzuteilen. Die Polizei kann die Zahl der Ordner angemessen beschränken.</w:t>
      </w:r>
    </w:p>
    <w:p>
      <w:r>
        <w:rPr>
          <w:color w:val="555555"/>
          <w:sz w:val="17"/>
        </w:rPr>
        <w:t xml:space="preserve">Zitiervorschlag: § 9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