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VersammlG</w:t>
      </w:r>
    </w:p>
    <w:p>
      <w:r>
        <w:rPr>
          <w:color w:val="555555"/>
          <w:sz w:val="18"/>
        </w:rPr>
        <w:t xml:space="preserve">Versammlungsgesetz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 öffentliche Versammlung muß einen Leiter haben.</w:t>
      </w:r>
    </w:p>
    <w:p>
      <w:r>
        <w:t xml:space="preserve">(2) Leiter der Versammlung ist der Veranstalter. Wird die Versammlung von einer Vereinigung veranstaltet, so ist ihr Vorsitzender der Leiter.</w:t>
      </w:r>
    </w:p>
    <w:p>
      <w:r>
        <w:t xml:space="preserve">(3) Der Veranstalter kann die Leitung einer anderen Person übertragen.</w:t>
      </w:r>
    </w:p>
    <w:p>
      <w:r>
        <w:t xml:space="preserve">(4) Der Leiter übt das Hausrecht aus.</w:t>
      </w:r>
    </w:p>
    <w:p>
      <w:r>
        <w:rPr>
          <w:color w:val="555555"/>
          <w:sz w:val="17"/>
        </w:rPr>
        <w:t xml:space="preserve">Zitiervorschlag: § 7 VersammlG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https://recht.nulegal.eu/gesetze/VersammlG/7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