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VersammlG</w:t>
      </w:r>
    </w:p>
    <w:p>
      <w:r>
        <w:rPr>
          <w:color w:val="555555"/>
          <w:sz w:val="18"/>
        </w:rPr>
        <w:t xml:space="preserve">Versammlungsgesetz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als Veranstalter oder Leiter</w:t>
      </w:r>
    </w:p>
    <w:p>
      <w:pPr>
        <w:ind w:left="420"/>
      </w:pPr>
      <w:r>
        <w:t xml:space="preserve">1. eine öffentliche Versammlung oder einen Aufzug trotz vollziehbaren Verbots durchführt oder trotz Auflösung oder Unterbrechung durch die Polizei fortsetzt oder</w:t>
      </w:r>
    </w:p>
    <w:p>
      <w:pPr>
        <w:ind w:left="420"/>
      </w:pPr>
      <w:r>
        <w:t xml:space="preserve">2. eine öffentliche Versammlung unter freiem Himmel oder einen Aufzug ohne Anmeldung (§ 14) durchführt, wird mit Freiheitsstrafe bis zu einem Jahr oder mit Geldstrafe bestraft.</w:t>
      </w:r>
    </w:p>
    <w:p>
      <w:r>
        <w:rPr>
          <w:color w:val="555555"/>
          <w:sz w:val="17"/>
        </w:rPr>
        <w:t xml:space="preserve">Zitiervorschlag: § 26 VersammlG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https://recht.nulegal.eu/gesetze/VersammlG/26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