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als Leiter einer öffentlichen Versammlung unter freiem Himmel oder eines Aufzuges</w:t>
      </w:r>
    </w:p>
    <w:p>
      <w:pPr>
        <w:ind w:left="420"/>
      </w:pPr>
      <w:r>
        <w:t xml:space="preserve">1. die Versammlung oder den Aufzug wesentlich anders durchführt, als die Veranstalter bei der Anmeldung angegeben haben, oder</w:t>
      </w:r>
    </w:p>
    <w:p>
      <w:pPr>
        <w:ind w:left="420"/>
      </w:pPr>
      <w:r>
        <w:t xml:space="preserve">2. Auflagen nach § 15 Abs. 1 oder 2 nicht nachkommt,</w:t>
      </w:r>
    </w:p>
    <w:p>
      <w:r>
        <w:t xml:space="preserve">wird mit Freiheitsstrafe bis zu sechs Monaten oder mit Geldstrafe bis zu einhundertachtzig Tagessätzen bestraft.</w:t>
      </w:r>
    </w:p>
    <w:p>
      <w:r>
        <w:rPr>
          <w:color w:val="555555"/>
          <w:sz w:val="17"/>
        </w:rPr>
        <w:t xml:space="preserve">Zitiervorschlag: § 25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