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Versammlungen unter freiem Himmel sind § 7 Abs. 1, §§ 8, 9 Abs. 1, §§ 10, 11 Abs. 2, §§ 12 und 13 Abs. 2 entsprechend anzuwenden.</w:t>
      </w:r>
    </w:p>
    <w:p>
      <w:r>
        <w:t xml:space="preserve">(2) Die Verwendung von Ordnern bedarf polizeilicher Genehmigung. Sie ist bei der Anmeldung zu beantragen.</w:t>
      </w:r>
    </w:p>
    <w:p>
      <w:r>
        <w:t xml:space="preserve">(3) Die Polizei kann Teilnehmer, welche die Ordnung gröblich stören, von der Versammlung ausschließen.</w:t>
      </w:r>
    </w:p>
    <w:p>
      <w:r>
        <w:rPr>
          <w:color w:val="555555"/>
          <w:sz w:val="17"/>
        </w:rPr>
        <w:t xml:space="preserve">Zitiervorschlag: § 18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