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VersammlG</w:t>
      </w:r>
    </w:p>
    <w:p>
      <w:r>
        <w:rPr>
          <w:color w:val="555555"/>
          <w:sz w:val="18"/>
        </w:rPr>
        <w:t xml:space="preserve">Versammlungsgesetz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§§ 14 bis 16 gelten nicht für Gottesdienste unter freiem Himmel, kirchliche Prozessionen, Bittgänge und Wallfahrten, gewöhnliche Leichenbegängnisse, Züge von Hochzeitsgesellschaften und hergebrachte Volksfeste.</w:t>
      </w:r>
    </w:p>
    <w:p>
      <w:r>
        <w:rPr>
          <w:color w:val="555555"/>
          <w:sz w:val="17"/>
        </w:rPr>
        <w:t xml:space="preserve">Zitiervorschlag: § 17 VersammlG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https://recht.nulegal.eu/gesetze/VersammlG/17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