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Die zuständige Behörde kann die Versammlung oder den Aufzug verbieten oder von bestimmten Auflagen abhängig machen, wenn nach den zur Zeit des Erlasses der Verfügung erkennbaren Umständen die öffentliche Sicherheit oder Ordnung bei Durchführung der Versammlung oder des Aufzuges unmittelbar gefährdet ist.</w:t>
      </w:r>
    </w:p>
    <w:p>
      <w:r>
        <w:t xml:space="preserve">(2) Eine Versammlung oder ein Aufzug kann insbesondere verboten oder von bestimmten Auflagen abhängig gemacht werden, wenn</w:t>
      </w:r>
    </w:p>
    <w:p>
      <w:pPr>
        <w:ind w:left="420"/>
      </w:pPr>
      <w:r>
        <w:t xml:space="preserve">1. die Versammlung oder der Aufzug an einem Ort stattfindet, der als Gedenkstätte von historisch herausragender, überregionaler Bedeutung an die Opfer der menschenunwürdigen Behandlung unter der nationalsozialistischen Gewalt- und Willkürherrschaft erinnert, und</w:t>
      </w:r>
    </w:p>
    <w:p>
      <w:pPr>
        <w:ind w:left="420"/>
      </w:pPr>
      <w:r>
        <w:t xml:space="preserve">2. nach den zur Zeit des Erlasses der Verfügung konkret feststellbaren Umständen zu besorgen ist, dass durch die Versammlung oder den Aufzug die Würde der Opfer beeinträchtigt wird.</w:t>
      </w:r>
    </w:p>
    <w:p>
      <w:r>
        <w:t xml:space="preserve">Das Denkmal für die ermordeten Juden Europas in Berlin ist ein Ort nach Satz 1 Nr. 1. Seine Abgrenzung ergibt sich aus der Anlage zu diesem Gesetz. Andere Orte nach Satz 1 Nr. 1 und deren Abgrenzung werden durch Landesgesetz bestimmt.</w:t>
      </w:r>
    </w:p>
    <w:p>
      <w:r>
        <w:t xml:space="preserve">(3) Sie kann eine Versammlung oder einen Aufzug auflösen, wenn sie nicht angemeldet sind, wenn von den Angaben der Anmeldung abgewichen oder den Auflagen zuwidergehandelt wird oder wenn die Voraussetzungen zu einem Verbot nach Absatz 1 oder 2 gegeben sind.</w:t>
      </w:r>
    </w:p>
    <w:p>
      <w:r>
        <w:t xml:space="preserve">(4) Eine verbotene Veranstaltung ist aufzulösen.</w:t>
      </w:r>
    </w:p>
    <w:p>
      <w:r>
        <w:rPr>
          <w:color w:val="555555"/>
          <w:sz w:val="17"/>
        </w:rPr>
        <w:t xml:space="preserve">Zitiervorschlag: § 15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