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12a VersammlG</w:t>
      </w:r>
    </w:p>
    <w:p>
      <w:r>
        <w:rPr>
          <w:color w:val="555555"/>
          <w:sz w:val="18"/>
        </w:rPr>
        <w:t xml:space="preserve">Versammlungsgesetz</w:t>
      </w:r>
    </w:p>
    <w:p>
      <w:r>
        <w:rPr>
          <w:color w:val="555555"/>
          <w:sz w:val="18"/>
        </w:rPr>
        <w:t xml:space="preserve">Stand: 10.06.2019 (konsolidierte Textfassung, kein amtliches Inkrafttretensdatum)</w:t>
      </w:r>
    </w:p>
    <w:p>
      <w:r>
        <w:t xml:space="preserve">(1) Die Polizei darf Bild- und Tonaufnahmen von Teilnehmern bei oder im Zusammenhang mit öffentlichen Versammlungen nur anfertigen, wenn tatsächliche Anhaltspunkte die Annahme rechtfertigen, daß von ihnen erhebliche Gefahren für die öffentliche Sicherheit oder Ordnung ausgehen. Die Maßnahmen dürfen auch durchgeführt werden, wenn Dritte unvermeidbar betroffen werden.</w:t>
      </w:r>
    </w:p>
    <w:p>
      <w:r>
        <w:t xml:space="preserve">(2) Die Unterlagen sind nach Beendigung der öffentlichen Versammlung oder zeitlich und sachlich damit unmittelbar im Zusammenhang stehender Ereignisse unverzüglich zu vernichten, soweit sie nicht benötigt werden</w:t>
      </w:r>
    </w:p>
    <w:p>
      <w:pPr>
        <w:ind w:left="420"/>
      </w:pPr>
      <w:r>
        <w:t xml:space="preserve">1. für die Verfolgung von Straftaten von Teilnehmern oder</w:t>
      </w:r>
    </w:p>
    <w:p>
      <w:pPr>
        <w:ind w:left="420"/>
      </w:pPr>
      <w:r>
        <w:t xml:space="preserve">2. im Einzelfall zur Gefahrenabwehr, weil die betroffene Person verdächtigt ist, Straftaten bei oder im Zusammenhang mit der öffentlichen Versammlung vorbereitet oder begangen zu haben, und deshalb zu besorgen ist, daß von ihr erhebliche Gefahren für künftige öffentliche Versammlungen oder Aufzüge ausgehen.</w:t>
      </w:r>
    </w:p>
    <w:p>
      <w:r>
        <w:t xml:space="preserve">Unterlagen, die aus den in Satz 1 Nr. 2 aufgeführten Gründen nicht vernichtet wurden, sind in jedem Fall spätestens nach Ablauf von drei Jahren seit ihrer Entstehung zu vernichten, es sei denn, sie würden inzwischen zu dem in Satz 1 Nr. 1 aufgeführten Zweck benötigt.</w:t>
      </w:r>
    </w:p>
    <w:p>
      <w:r>
        <w:t xml:space="preserve">(3) Die Befugnisse zur Erhebung personenbezogener Informationen nach Maßgabe der Strafprozeßordnung und des Gesetzes über Ordnungswidrigkeiten bleiben unberührt.</w:t>
      </w:r>
    </w:p>
    <w:p>
      <w:r>
        <w:rPr>
          <w:color w:val="555555"/>
          <w:sz w:val="17"/>
        </w:rPr>
        <w:t xml:space="preserve">Zitiervorschlag: § 12a VersammlG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https://recht.nulegal.eu/gesetze/VersammlG/12a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