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VersVermV 2018 — Mitteilungspflichten</w:t>
      </w:r>
    </w:p>
    <w:p>
      <w:r>
        <w:rPr>
          <w:color w:val="555555"/>
          <w:sz w:val="18"/>
        </w:rPr>
        <w:t xml:space="preserve">Versicherungsvermittlungsverordnung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Eintragungspflichtige hat der Registerbehörde die nach § 8 einzutragenden Angaben mitzuteilen. Änderungen der Angaben nach § 8 hat der Eintragungspflichtige der Registerbehörde unverzüglich mitzuteilen.</w:t>
      </w:r>
    </w:p>
    <w:p>
      <w:r>
        <w:t xml:space="preserve">(2) Bei Versicherungsvermittlern, die nach § 34d Absatz 7 Satz 1 Nummer 1 der Gewerbeordnung keiner Erlaubnis bedürfen, erfolgt die Übermittlung der einzutragenden Angaben abweichend von Absatz 1 ausschließlich nach § 48 Absatz 4 Satz 1 des Versicherungsaufsichtsgesetzes.</w:t>
      </w:r>
    </w:p>
    <w:p>
      <w:r>
        <w:t xml:space="preserve">(3) Die Registerbehörde erteilt dem Eintragungspflichtigen und im Falle des Absatzes 2 zusätzlich dem oder den mitteilenden Versicherungsunternehmen eine Eintragungsbestätigung mit der Registrierungsnummer, unter der der Eintragungspflichtige im Register geführt wird.</w:t>
      </w:r>
    </w:p>
    <w:p>
      <w:r>
        <w:t xml:space="preserve">(4) Die Registerbehörde unterrichtet den Eintragungspflichtigen und im Falle des § 48 Absatz 5 des Versicherungsaufsichtsgesetzes zusätzlich das Versicherungsunternehmen unverzüglich über eine Datenlöschung nach § 11a Absatz 3 Satz 2 der Gewerbeordnung.</w:t>
      </w:r>
    </w:p>
    <w:p>
      <w:r>
        <w:rPr>
          <w:color w:val="555555"/>
          <w:sz w:val="17"/>
        </w:rPr>
        <w:t xml:space="preserve">Zitiervorschlag: § 9 VersVermV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https://recht.nulegal.eu/gesetze/VersVermV%202018/9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