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VersVermV 2018 — Prüfung, Verfahren</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(1) Die Sachkundeprüfung besteht aus einem schriftlichen und einem praktischen Teil. Die Teilnahme am praktischen Teil der Prüfung setzt das Bestehen des schriftlichen Teils voraus.</w:t>
      </w:r>
    </w:p>
    <w:p>
      <w:r>
        <w:t xml:space="preserve">(2) Der schriftliche Teil der Prüfung umfasst die in § 2 Absatz 1 Nummer 1 aufgeführten Sachgebiete. Sie sind anhand praxisbezogener Aufgaben und in einem ausgewogenen Verhältnis zueinander zu prüfen. Der schriftliche Teil der Prüfung kann mit Hilfe unterschiedlicher Medien durchgeführt werden.</w:t>
      </w:r>
    </w:p>
    <w:p>
      <w:r>
        <w:t xml:space="preserve">(3) Die Auswahl der Prüfungsaufgaben für den schriftlichen Teil der Prüfung trifft ein nach Maßgabe des § 32 Absatz 2 der Gewerbeordnung eingerichteter bundesweit einheitlich tätiger Aufgabenauswahlausschuss. Der Aufgabenauswahlausschuss ist mit acht Mitgliedern und acht stellvertretenden Mitgliedern zu besetzen. Die Berufung der Mitglieder und der Stellvertreter erfolgt nach Anhörung von Vertretern der Versicherungsunternehmen, der Versicherungsmakler, der Versicherungsberater, der Versicherungsvertreter und der Außendienstführungskräfte. Es werden berufen:</w:t>
      </w:r>
    </w:p>
    <w:p>
      <w:pPr>
        <w:ind w:left="420"/>
      </w:pPr>
      <w:r>
        <w:t xml:space="preserve">1. zwei Mitglieder und zwei Stellvertreter aus den Reihen der Versicherungsunternehmen oder der Vertreter ihrer Interessen,</w:t>
      </w:r>
    </w:p>
    <w:p>
      <w:pPr>
        <w:ind w:left="420"/>
      </w:pPr>
      <w:r>
        <w:t xml:space="preserve">2. zwei Mitglieder und zwei Stellvertreter aus den Reihen der Versicherungsmakler oder der Versicherungsberater oder der Vertreter ihrer Interessen,</w:t>
      </w:r>
    </w:p>
    <w:p>
      <w:pPr>
        <w:ind w:left="420"/>
      </w:pPr>
      <w:r>
        <w:t xml:space="preserve">3. zwei Mitglieder und zwei Stellvertreter aus den Reihen der Versicherungsvertreter oder der Vertreter ihrer Interessen,</w:t>
      </w:r>
    </w:p>
    <w:p>
      <w:pPr>
        <w:ind w:left="420"/>
      </w:pPr>
      <w:r>
        <w:t xml:space="preserve">4. ein Mitglied und ein Stellvertreter aus den Reihen der Außendienstführungskräfte oder der Vertreter ihrer Interessen sowie</w:t>
      </w:r>
    </w:p>
    <w:p>
      <w:pPr>
        <w:ind w:left="420"/>
      </w:pPr>
      <w:r>
        <w:t xml:space="preserve">5. ein Mitglied und ein Stellvertreter aus den Reihen der Industrie- und Handelskammern oder der Vertreter ihrer Interessen.</w:t>
      </w:r>
    </w:p>
    <w:p>
      <w:r>
        <w:t xml:space="preserve">Die Mitglieder des Ausschusses sowie ihre Stellvertreter müssen in der Lage sein, sachverständige Entscheidungen zur Aufgabenauswahl zu treffen. Die Prüfungsaufgaben werden auch nach der Prüfung nicht veröffentlicht, sondern stehen den Prüflingen nur während der Prüfung zur Verfügung.</w:t>
      </w:r>
    </w:p>
    <w:p>
      <w:r>
        <w:t xml:space="preserve">(4) Im praktischen Teil der Prüfung wird jeweils ein Prüfling geprüft. Dieser Prüfungsteil umfasst die Kundenberatung nach § 2 Absatz 1 Nummer 2 und wird als Simulation eines Kundenberatungsgesprächs durchgeführt. Der Prüfling hat nachzuweisen, dass er über die Fähigkeiten verfügt, kundengerechte Lösungen zu entwickeln und anzubieten. Dabei kann der Prüfling wählen zwischen den Sachgebieten</w:t>
      </w:r>
    </w:p>
    <w:p>
      <w:pPr>
        <w:ind w:left="420"/>
      </w:pPr>
      <w:r>
        <w:t xml:space="preserve">1. Vorsorge mit den Teilsachgebieten Lebensversicherung, private Rentenversicherung, Unfallversicherung, Berufsunfähigkeitsversicherung, Krankenversicherung und Pflegeversicherung oder</w:t>
      </w:r>
    </w:p>
    <w:p>
      <w:pPr>
        <w:ind w:left="420"/>
      </w:pPr>
      <w:r>
        <w:t xml:space="preserve">2. Sach- und Vermögensversicherung mit den Teilsachgebieten Haftpflichtversicherung, Kraftfahrtversicherung, Hausratversicherung, Gebäudeversicherung und Rechtsschutzversicherung.</w:t>
      </w:r>
    </w:p>
    <w:p>
      <w:r>
        <w:t xml:space="preserve">Die Prüfung ist auf der Grundlage einer Fallvorgabe durchzuführen, die eine Kundenberatungssituation entweder als Versicherungsvermittler oder als Versicherungsberater vorsieht.</w:t>
      </w:r>
    </w:p>
    <w:p>
      <w:r>
        <w:t xml:space="preserve">(5) Der praktische Teil der Prüfung entfällt, wenn der Prüfling</w:t>
      </w:r>
    </w:p>
    <w:p>
      <w:pPr>
        <w:ind w:left="420"/>
      </w:pPr>
      <w:r>
        <w:t xml:space="preserve">1. eine Erlaubnis nach § 34f Absatz 1 Satz 1, § 34h Absatz 1 Satz 1 oder § 34i Absatz 1 Satz 1 der Gewerbeordnung hat, oder</w:t>
      </w:r>
    </w:p>
    <w:p>
      <w:pPr>
        <w:ind w:left="420"/>
      </w:pPr>
      <w:r>
        <w:t xml:space="preserve">2. einen Sachkundenachweis erlangt hat nach</w:t>
      </w:r>
    </w:p>
    <w:p>
      <w:pPr>
        <w:ind w:left="780"/>
      </w:pPr>
      <w:r>
        <w:t xml:space="preserve">a) § 34f Absatz 2 Nummer 4 der Gewerbeordnung,</w:t>
      </w:r>
    </w:p>
    <w:p>
      <w:pPr>
        <w:ind w:left="780"/>
      </w:pPr>
      <w:r>
        <w:t xml:space="preserve">b) § 34h Absatz 1 Satz 4 in Verbindung mit § 34f Absatz 2 Nummer 4 der Gewerbeordnung oder</w:t>
      </w:r>
    </w:p>
    <w:p>
      <w:pPr>
        <w:ind w:left="780"/>
      </w:pPr>
      <w:r>
        <w:t xml:space="preserve">c) § 34i Absatz 2 Nummer 4.</w:t>
      </w:r>
    </w:p>
    <w:p>
      <w:r>
        <w:t xml:space="preserve">(6) Die Prüfung ist nicht öffentlich. Es können jedoch folgende Personen anwesend sein:</w:t>
      </w:r>
    </w:p>
    <w:p>
      <w:pPr>
        <w:ind w:left="420"/>
      </w:pPr>
      <w:r>
        <w:t xml:space="preserve">1. Vertreter der Bundesanstalt für Finanzdienstleistungsaufsicht,</w:t>
      </w:r>
    </w:p>
    <w:p>
      <w:pPr>
        <w:ind w:left="420"/>
      </w:pPr>
      <w:r>
        <w:t xml:space="preserve">2. Mitglieder eines anderen Prüfungsausschusses,</w:t>
      </w:r>
    </w:p>
    <w:p>
      <w:pPr>
        <w:ind w:left="420"/>
      </w:pPr>
      <w:r>
        <w:t xml:space="preserve">3. Vertreter der Industrie- und Handelskammern,</w:t>
      </w:r>
    </w:p>
    <w:p>
      <w:pPr>
        <w:ind w:left="420"/>
      </w:pPr>
      <w:r>
        <w:t xml:space="preserve">4. Personen, die beauftragt sind, die Qualität der Prüfungen zu kontrollieren, oder</w:t>
      </w:r>
    </w:p>
    <w:p>
      <w:pPr>
        <w:ind w:left="420"/>
      </w:pPr>
      <w:r>
        <w:t xml:space="preserve">5. Personen, die dafür vorgesehen sind, in einen Prüfungsausschuss berufen zu werden.</w:t>
      </w:r>
    </w:p>
    <w:p>
      <w:r>
        <w:t xml:space="preserve">Diese Personen dürfen nicht in die laufende Prüfung eingreifen oder in die Beratung über das Prüfungsergebnis einbezogen werden.</w:t>
      </w:r>
    </w:p>
    <w:p>
      <w:r>
        <w:t xml:space="preserve">(7) Die Leistung des Prüflings ist von dem Prüfungsausschuss mit „bestanden“ oder „nicht bestanden“ zu bewerten. Die Prüfung ist bestanden, wenn sowohl der schriftliche als auch der praktische Teil der Prüfung jeweils mit „bestanden“ bewertet worden sind. Der schriftliche Teil der Prüfung ist bestanden, wenn der Prüfling</w:t>
      </w:r>
    </w:p>
    <w:p>
      <w:pPr>
        <w:ind w:left="420"/>
      </w:pPr>
      <w:r>
        <w:t xml:space="preserve">1. in vier der in § 2 Absatz 1 Nummer 1 genannten Bereiche jeweils mindestens 50 Prozent und</w:t>
      </w:r>
    </w:p>
    <w:p>
      <w:pPr>
        <w:ind w:left="420"/>
      </w:pPr>
      <w:r>
        <w:t xml:space="preserve">2. in dem verbliebenen Bereich mindestens 30 Prozent</w:t>
      </w:r>
    </w:p>
    <w:p>
      <w:r>
        <w:t xml:space="preserve">der erreichbaren Punkte erzielt. Der praktische Teil der Prüfung ist bestanden, wenn der Prüfling mindestens 50 Prozent der erreichbaren Punkte erzielt.</w:t>
      </w:r>
    </w:p>
    <w:p>
      <w:r>
        <w:t xml:space="preserve">(8) Die Industrie- und Handelskammer stellt unverzüglich eine Bescheinigung nach Anlage 2 aus, wenn der Prüfling die Prüfung bestanden hat. Wurde die Prüfung nicht erfolgreich bestanden, erhält der Prüfling darüber einen Bescheid, in dem er auf die Möglichkeit einer Wiederholung der Prüfung hinzuweisen ist.</w:t>
      </w:r>
    </w:p>
    <w:p>
      <w:r>
        <w:t xml:space="preserve">(9) Die Einzelheiten des Prüfungsverfahrens regeln die Industrie- und Handelskammern nach Maßgabe des § 32 Absatz 1 Satz 2 der Gewerbeordnung durch Satzung.</w:t>
      </w:r>
    </w:p>
    <w:p>
      <w:r>
        <w:rPr>
          <w:color w:val="555555"/>
          <w:sz w:val="17"/>
        </w:rPr>
        <w:t xml:space="preserve">Zitiervorschlag: § 4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