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VersVermV 2018 — Übergangsregelung</w:t>
      </w:r>
    </w:p>
    <w:p>
      <w:r>
        <w:rPr>
          <w:color w:val="555555"/>
          <w:sz w:val="18"/>
        </w:rPr>
        <w:t xml:space="preserve">Versicherungsvermittlungsverordnung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vor dem 1. Januar 2009 erworbener Abschluss als Versicherungsfachmann oder Versicherungsfachfrau des Berufsbildungswerks der Deutschen Versicherungswirtschaft e. V. steht der erfolgreich abgelegten Sachkundeprüfung nach § 2 gleich.</w:t>
      </w:r>
    </w:p>
    <w:p>
      <w:r>
        <w:rPr>
          <w:color w:val="555555"/>
          <w:sz w:val="17"/>
        </w:rPr>
        <w:t xml:space="preserve">Zitiervorschlag: § 27 VersVermV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https://recht.nulegal.eu/gesetze/VersVermV%202018/27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