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VersVermV 2018 — Anforderungen an die Geschäftsorganisation, Vergütung, Vermeidung von Interessenkonflikten</w:t>
      </w:r>
    </w:p>
    <w:p>
      <w:r>
        <w:rPr>
          <w:color w:val="555555"/>
          <w:sz w:val="18"/>
        </w:rPr>
        <w:t xml:space="preserve">Versicherungsvermittlungsverordnung</w:t>
      </w:r>
    </w:p>
    <w:p>
      <w:r>
        <w:rPr>
          <w:color w:val="555555"/>
          <w:sz w:val="18"/>
        </w:rPr>
        <w:t xml:space="preserve">Stand: 10.06.2019 (konsolidierte Textfassung, kein amtliches Inkrafttretensdatum)</w:t>
      </w:r>
    </w:p>
    <w:p>
      <w:r>
        <w:t xml:space="preserve">(1) Der Gewerbetreibende muss über alle sachgerechten Informationen zu dem Versicherungsprodukt und dem Produktfreigabeverfahren einschließlich des bestimmten Zielmarkts des Versicherungsprodukts verfügen. Satz 1 gilt nicht für Versicherungsverträge über Großrisiken nach § 210 Absatz 2 des Versicherungsvertragsgesetzes.</w:t>
      </w:r>
    </w:p>
    <w:p>
      <w:r>
        <w:t xml:space="preserve">(2) Der Gewerbetreibende darf seine Beschäftigten nicht in einer Weise vergüten oder bewerten, die mit ihrer Pflicht, im bestmöglichen Interesse der Versicherungsnehmer zu handeln, kollidiert. Der Gewerbetreibende darf keine Vorkehrungen durch die Vergütung, Verkaufsziele oder in anderer Weise treffen, durch die Anreize für ihn selbst oder seine Beschäftigten geschaffen werden könnten, einem Versicherungsnehmer ein bestimmtes Versicherungsprodukt zu empfehlen, obwohl er ein anderes, den Bedürfnissen des Versicherungsnehmers besser entsprechendes Versicherungsprodukt anbieten könnte.</w:t>
      </w:r>
    </w:p>
    <w:p>
      <w:r>
        <w:rPr>
          <w:color w:val="555555"/>
          <w:sz w:val="17"/>
        </w:rPr>
        <w:t xml:space="preserve">Zitiervorschlag: § 14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