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VersVermV 2018 — Umfang der Versicherung</w:t>
      </w:r>
    </w:p>
    <w:p>
      <w:r>
        <w:rPr>
          <w:color w:val="555555"/>
          <w:sz w:val="18"/>
        </w:rPr>
        <w:t xml:space="preserve">Versicherungsvermittlungsverordnung</w:t>
      </w:r>
    </w:p>
    <w:p>
      <w:r>
        <w:rPr>
          <w:color w:val="555555"/>
          <w:sz w:val="18"/>
        </w:rPr>
        <w:t xml:space="preserve">Stand: 10.06.2019 (konsolidierte Textfassung, kein amtliches Inkrafttretensdatum)</w:t>
      </w:r>
    </w:p>
    <w:p>
      <w:r>
        <w:t xml:space="preserve">(1) Die Versicherung nach § 34d Absatz 5 Satz 1 Nummer 3 der Gewerbeordnung muss bei einem im Inland zum Geschäftsbetrieb zugelassenen Versicherungsunternehmen abgeschlossen werden.</w:t>
      </w:r>
    </w:p>
    <w:p>
      <w:r>
        <w:t xml:space="preserve">(2) Die Mindestversicherungssumme beträgt 1 276 000 Euro für jeden Versicherungsfall und 1 919 000 Euro für alle Versicherungsfälle eines Jahres. Für die Anpassung dieser Mindestversicherungssummen ist der technische Regulierungsstandard gemäß Artikel 10 Absatz 7 der Richtlinie (EU) 2016/97 des Europäischen Parlaments und des Rates vom 20. Januar 2016 über Versicherungsvertrieb (Neufassung) (ABl. L 26 vom 2.2.2016, S. 19; L 222 vom 17.8.2016, S. 114) in der jeweils geltenden Fassung anzuwenden.</w:t>
      </w:r>
    </w:p>
    <w:p>
      <w:r>
        <w:t xml:space="preserve">(3) Der Versicherungsvertrag muss Deckung für die sich aus der gewerblichen Tätigkeit nach § 34d Absatz 1 Satz 1 oder Absatz 2 Satz 1 der Gewerbeordnung ergebenden Haftpflichtgefahren für Vermögensschäden gewähren. Der Versicherungsvertrag muss sich auch auf solche Vermögensschäden erstrecken, für die der Versicherungspflichtige nach § 278 oder § 831 des Bürgerlichen Gesetzbuchs einzustehen hat, soweit Erfüllungsgehilfen oder Verrichtungsgehilfen nicht selbst zum Abschluss einer solchen Berufshaftpflichtversicherung verpflichtet sind. Ist der Gewerbetreibende in einer oder mehreren Personenhandelsgesellschaften als geschäftsführender Gesellschafter tätig, so muss für die jeweilige Personenhandelsgesellschaft jeweils ein Versicherungsvertrag abgeschlossen werden; der Versicherungsvertrag kann auch die Tätigkeit des Gewerbetreibenden nach Satz 1 abdecken.</w:t>
      </w:r>
    </w:p>
    <w:p>
      <w:r>
        <w:t xml:space="preserve">(4) Der Versicherungsvertrag hat Versicherungsschutz für jede einzelne Pflichtverletzung zu gewähren, die gesetzliche Haftpflichtansprüche privatrechtlichen Inhalts gegen den Versicherungspflichtigen zur Folge haben könnte. Dabei kann vereinbart werden, dass sämtliche Pflichtverletzungen bei Erledigung eines einheitlichen Geschäfts als ein Versicherungsfall gelten.</w:t>
      </w:r>
    </w:p>
    <w:p>
      <w:r>
        <w:t xml:space="preserve">(5) Von der Versicherung kann die Haftung für Ersatzansprüche wegen wissentlicher Pflichtverletzung ausgeschlossen werden. Weitere Ausschlüsse sind nur insoweit zulässig, als sie marktüblich sind und dem Zweck der Berufshaftpflichtversicherung nicht zuwiderlaufen.</w:t>
      </w:r>
    </w:p>
    <w:p>
      <w:r>
        <w:rPr>
          <w:color w:val="555555"/>
          <w:sz w:val="17"/>
        </w:rPr>
        <w:t xml:space="preserve">Zitiervorschlag: § 12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