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VersVermV 2018 — Geltungsbereich der Versicherung</w:t>
      </w:r>
    </w:p>
    <w:p>
      <w:r>
        <w:rPr>
          <w:color w:val="555555"/>
          <w:sz w:val="18"/>
        </w:rPr>
        <w:t xml:space="preserve">Versicherungsvermittlungsverordnung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Berufshaftpflichtversicherung nach § 34d Absatz 5 Satz 1 Nummer 3 der Gewerbeordnung muss für das gesamte Gebiet der Europäischen Union und der anderen Vertragsstaaten des Abkommens über den Europäischen Wirtschaftsraum gelten.</w:t>
      </w:r>
    </w:p>
    <w:p>
      <w:r>
        <w:rPr>
          <w:color w:val="555555"/>
          <w:sz w:val="17"/>
        </w:rPr>
        <w:t xml:space="preserve">Zitiervorschlag: § 11 VersVermV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https://recht.nulegal.eu/gesetze/VersVermV%202018/11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