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VersVergV 2016 — Anforderungen auf Versicherungsgruppen- und Finanzkonglomeratsebene</w:t>
      </w:r>
    </w:p>
    <w:p>
      <w:r>
        <w:rPr>
          <w:color w:val="555555"/>
          <w:sz w:val="18"/>
        </w:rPr>
        <w:t xml:space="preserve">Versicherungs-Vergütungsverordnung</w:t>
      </w:r>
    </w:p>
    <w:p>
      <w:r>
        <w:rPr>
          <w:color w:val="555555"/>
          <w:sz w:val="18"/>
        </w:rPr>
        <w:t xml:space="preserve">Stand: 10.06.2019 (konsolidierte Textfassung, kein amtliches Inkrafttretensdatum)</w:t>
      </w:r>
    </w:p>
    <w:p>
      <w:r>
        <w:t xml:space="preserve">(1) Übergeordnete Unternehmen einer Versicherungsgruppe im Sinne des § 25 Absatz 3 des Versicherungsaufsichtsgesetzes und übergeordnete Unternehmen eines Finanzkonglomerats haben sicherzustellen, dass die Vergütungssysteme für Geschäftsleiter und Geschäftsleiterinnen, für Mitarbeiter und Mitarbeiterinnen sowie für Aufsichtsratsmitglieder innerhalb der gesamten Gruppe oder des gesamten Konglomerats angemessen, transparent und auf eine nachhaltige Entwicklung ausgerichtet sind.</w:t>
      </w:r>
    </w:p>
    <w:p>
      <w:r>
        <w:t xml:space="preserve">(2) Die in Absatz 1 genannten Unternehmen haben auf der Grundlage einer Risikoanalyse eigenverantwortlich festzustellen, auf welche Unternehmen der Gruppe oder des Konglomerats, für die weder § 25a des Kreditwesengesetzes in Verbindung mit der Institutsvergütungsverordnung noch § 25 des Versicherungsaufsichtsgesetzes in Verbindung mit dieser Verordnung, noch Artikel 275 der Delegierten Verordnung (EU) 2015/35 gelten, die Anforderungen der §§ 3 und 4 oder des Artikels 275 der Delegierten Verordnung (EU) 2015/35 anzuwenden sind.</w:t>
      </w:r>
    </w:p>
    <w:p>
      <w:r>
        <w:t xml:space="preserve">(3) Bei der Risikoanalyse sind insbesondere die Bedeutung der betreffenden Unternehmen für die Risikosituation der Gruppe oder des Konglomerats, die Höhe der Beitragseinnahmen, das Kapitalanlagevolumen, die Bilanzsumme und die Marktstellung des Unternehmens zu beachten. Die Feststellung und die Risikoanalyse sind schriftlich zu dokumentieren. Die Risikoanalyse muss plausibel, umfassend und für Dritte nachvollziehbar sein.</w:t>
      </w:r>
    </w:p>
    <w:p>
      <w:r>
        <w:t xml:space="preserve">(4) Sofern es unter Berücksichtigung der Größe und Komplexität der Geschäftstätigkeit der Versicherungsgruppe oder des Finanzkonglomerats risikoadäquat erscheint, können einzelne Anforderungen dieser Verordnung zentral innerhalb der Gruppe oder des Konglomerats erfüllt werden. Das übergeordnete Unternehmen hat die Einschätzung hierüber schriftlich zu dokumentieren.</w:t>
      </w:r>
    </w:p>
    <w:p>
      <w:r>
        <w:rPr>
          <w:color w:val="555555"/>
          <w:sz w:val="17"/>
        </w:rPr>
        <w:t xml:space="preserve">Zitiervorschlag: § 5 VersVergV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https://recht.nulegal.eu/gesetze/VersVergV%202016/5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