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VersVergV 2016 — Begriffsbestimmungen</w:t>
      </w:r>
    </w:p>
    <w:p>
      <w:r>
        <w:rPr>
          <w:color w:val="555555"/>
          <w:sz w:val="18"/>
        </w:rPr>
        <w:t xml:space="preserve">Versicherungs-Vergütungsverordnung</w:t>
      </w:r>
    </w:p>
    <w:p>
      <w:r>
        <w:rPr>
          <w:color w:val="555555"/>
          <w:sz w:val="18"/>
        </w:rPr>
        <w:t xml:space="preserve">Stand: 10.06.2019 (konsolidierte Textfassung, kein amtliches Inkrafttretensdatum)</w:t>
      </w:r>
    </w:p>
    <w:p>
      <w:r>
        <w:t xml:space="preserve">Im Sinne dieser Verordnung ist oder sind:</w:t>
      </w:r>
    </w:p>
    <w:p>
      <w:pPr>
        <w:ind w:left="420"/>
      </w:pPr>
      <w:r>
        <w:t xml:space="preserve">1. „Unternehmen“: alle in § 1 Absatz 1 genannten Unternehmen;</w:t>
      </w:r>
    </w:p>
    <w:p>
      <w:pPr>
        <w:ind w:left="420"/>
      </w:pPr>
      <w:r>
        <w:t xml:space="preserve">2. „Vergütung“: sämtliche finanziellen Leistungen und Sachbezüge, gleich welcher Art, sowie Leistungen von Dritten, die ein Geschäftsleiter oder eine Geschäftsleiterin oder ein Mitarbeiter oder eine Mitarbeiterin im Hinblick auf seine oder ihre berufliche Tätigkeit bei dem Unternehmen erhält; nicht als Vergütung gelten finanzielle Leistungen oder Sachbezüge, die von dem Unternehmen kraft einer allgemeinen, ermessensunabhängigen Regelung gewährt werden und keine Anreizwirkung zur Eingehung von Risiken entfalten, insbesondere Rabatte, betriebliche Versicherungs- und Sozialleistungen sowie bei Mitarbeitern und Mitarbeiterinnen die Beiträge zur gesetzlichen Rentenversicherung im Sinne des Sechsten Buches Sozialgesetzbuch und die Beiträge zur betrieblichen Altersversorgung im Sinne des Betriebsrentengesetzes;</w:t>
      </w:r>
    </w:p>
    <w:p>
      <w:pPr>
        <w:ind w:left="420"/>
      </w:pPr>
      <w:r>
        <w:t xml:space="preserve">3. „Vergütungssysteme“: alle unternehmensinternen Regelungen zur Vergütung sowie deren tatsächliche Umsetzung und Anwendung durch die Unternehmen;</w:t>
      </w:r>
    </w:p>
    <w:p>
      <w:pPr>
        <w:ind w:left="420"/>
      </w:pPr>
      <w:r>
        <w:t xml:space="preserve">4. „variable Vergütung“: der Teil der Vergütung, dessen Gewährung oder Höhe im Ermessen des Unternehmens steht oder vom Eintritt vereinbarter Bedingungen abhängt, und zwar einschließlich der ermessensabhängigen Leistungen zur Altersversorgung;</w:t>
      </w:r>
    </w:p>
    <w:p>
      <w:pPr>
        <w:ind w:left="420"/>
      </w:pPr>
      <w:r>
        <w:t xml:space="preserve">5. „ermessensabhängige Leistungen zur Altersversorgung“: der Teil der variablen Vergütung, der zum Zwecke der Altersversorgung im Hinblick auf eine konkret bevorstehende Beendigung des Beschäftigungsverhältnisses beim Unternehmen vereinbart wird;</w:t>
      </w:r>
    </w:p>
    <w:p>
      <w:pPr>
        <w:ind w:left="420"/>
      </w:pPr>
      <w:r>
        <w:t xml:space="preserve">6. „fixe Vergütung“: der Teil der Vergütung, der nicht variabel ist;</w:t>
      </w:r>
    </w:p>
    <w:p>
      <w:pPr>
        <w:ind w:left="420"/>
      </w:pPr>
      <w:r>
        <w:t xml:space="preserve">7. „Mitarbeiter“ und „Mitarbeiterinnen“: alle natürlichen Personen, derer sich das Unternehmen beim Geschäftsbetrieb, insbesondere auf Grund eines Arbeits-, Geschäftsbesorgungs- oder Dienstverhältnisses bedient, und alle natürlichen Personen, die im Rahmen der Ausgliederung wichtiger Funktionen oder Versicherungstätigkeiten mit einer gruppenangehörigen Gesellschaft, für die die Institutsvergütungsverordnung nicht gilt, unmittelbar an Dienstleistungen für das Unternehmen beteiligt sind; dies gilt nicht im Fall der Ausgliederung wichtiger Funktionen oder Versicherungstätigkeiten von Pensionskassen oder Pensionsfonds, die über keine eigenen Mitarbeiter und Mitarbeiterinnen verfügen, für Trägerunternehmen oder für deren Spezialdienstleistungsunternehmen; Geschäftsleiter und Geschäftsleiterinnen und Handelsvertreter im Sinne des § 84 Absatz 1 des Handelsgesetzbuchs gelten nicht als Mitarbeiter und Mitarbeiterinnen;</w:t>
      </w:r>
    </w:p>
    <w:p>
      <w:pPr>
        <w:ind w:left="420"/>
      </w:pPr>
      <w:r>
        <w:t xml:space="preserve">8. „Vergütungsparameter“: die quantitativen und qualitativen Bestimmungsfaktoren, anhand derer die Leistung und der Erfolg eines Geschäftsleiters oder einer Geschäftsleiterin, eines Mitarbeiters oder einer Mitarbeiterin oder einer unternehmensinternen Organisationseinheit gemessen wird;</w:t>
      </w:r>
    </w:p>
    <w:p>
      <w:pPr>
        <w:ind w:left="420"/>
      </w:pPr>
      <w:r>
        <w:t xml:space="preserve">9. „Erfolgsbeiträge“: die auf der Grundlage von Vergütungsparametern ermittelten tatsächlichen Leistungen und Erfolge von Geschäftsleitern oder Geschäftsleiterinnen, Mitarbeitern oder Mitarbeiterinnen oder unternehmensinternen Organisationseinheiten, die in die Ermittlung der Höhe der variablen Vergütungsbestandteile einfließen; Erfolgsbeiträge können positiv oder negativ sein;</w:t>
      </w:r>
    </w:p>
    <w:p>
      <w:pPr>
        <w:ind w:left="420"/>
      </w:pPr>
      <w:r>
        <w:t xml:space="preserve">10. „Kontrolleinheiten“: die unternehmensinternen Organisationseinheiten, die die geschäftsinitiierenden Organisationseinheiten überwachen, einschließlich der internen Revision.</w:t>
      </w:r>
    </w:p>
    <w:p>
      <w:r>
        <w:rPr>
          <w:color w:val="555555"/>
          <w:sz w:val="17"/>
        </w:rPr>
        <w:t xml:space="preserve">Zitiervorschlag: § 2 VersVergV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https://recht.nulegal.eu/gesetze/VersVergV%202016/2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