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VersStGDB — Informationsanspruch des Steuerentrichtungsschuldners</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Zur Gewährleistung eines ordnungsgemäßen Besteuerungsverfahrens ist der Steuerentrichtungsschuldner berechtigt, von allen an der Begründung oder Durchführung eines Versicherungsverhältnisses Beteiligten Informationen über die für die Besteuerung erheblichen Tatsachen zu verlangen. Hierzu gehören insbesondere</w:t>
      </w:r>
    </w:p>
    <w:p>
      <w:pPr>
        <w:ind w:left="420"/>
      </w:pPr>
      <w:r>
        <w:t xml:space="preserve">1. der Eintritt von Umständen nach Begründung des Versicherungsverhältnisses, die zu einer Steuerpflicht der Zahlung von Versicherungsentgelt führen;</w:t>
      </w:r>
    </w:p>
    <w:p>
      <w:pPr>
        <w:ind w:left="420"/>
      </w:pPr>
      <w:r>
        <w:t xml:space="preserve">2. die Höhe eines der Versicherungsteuer unterliegenden Verkaufsaufschlags bei auf Vermarktung durch den Versicherungsnehmer angelegten Gruppenversicherungen, es sei denn, der Versicherungsnehmer nimmt die Anmeldung und die Entrichtung der Steuer für den gesamten Gruppenversicherungsvertrag selbst vor;</w:t>
      </w:r>
    </w:p>
    <w:p>
      <w:pPr>
        <w:ind w:left="420"/>
      </w:pPr>
      <w:r>
        <w:t xml:space="preserve">3. der Eintritt der für die Nachversteuerung im Sinne des § 9 Absatz 5 und 6 des Gesetzes maßgebenden Umstände;</w:t>
      </w:r>
    </w:p>
    <w:p>
      <w:pPr>
        <w:ind w:left="420"/>
      </w:pPr>
      <w:r>
        <w:t xml:space="preserve">4. die Versicherungsteuernummer eines beteiligten Mitversicherers, auch wenn er durch einen Makler vertreten wird.</w:t>
      </w:r>
    </w:p>
    <w:p>
      <w:r>
        <w:rPr>
          <w:color w:val="555555"/>
          <w:sz w:val="17"/>
        </w:rPr>
        <w:t xml:space="preserve">Zitiervorschlag: § 4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