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VersStGDB — Anzeigepflichten für Versicherer</w:t>
      </w:r>
    </w:p>
    <w:p>
      <w:r>
        <w:rPr>
          <w:color w:val="555555"/>
          <w:sz w:val="18"/>
        </w:rPr>
        <w:t xml:space="preserve">Versicherungsteuer-Durchführungsverordnung</w:t>
      </w:r>
    </w:p>
    <w:p>
      <w:r>
        <w:rPr>
          <w:color w:val="555555"/>
          <w:sz w:val="18"/>
        </w:rPr>
        <w:t xml:space="preserve">Stand: 15.05.2021 (konsolidierte Textfassung, kein amtliches Inkrafttretensdatum)</w:t>
      </w:r>
    </w:p>
    <w:p>
      <w:r>
        <w:t xml:space="preserve">(1) Ein EWR-Versicherer hat die Aufnahme des Versicherungsgeschäfts im Geltungsbereich des Gesetzes binnen zwei Wochen gegenüber dem Bundeszentralamt für Steuern anzuzeigen. Das Gleiche gilt für eine Person oder eine Personenvereinigung, die an einem Versicherungsvertrag im Sinne des § 2 Absatz 1 des Gesetzes beteiligt ist.</w:t>
      </w:r>
    </w:p>
    <w:p>
      <w:r>
        <w:t xml:space="preserve">(2) Zugleich mit der Anzeige hat der Versicherer dem Bundeszentralamt für Steuern zu erklären, ob er die Erfüllung der Steuerpflicht selbst übernehmen oder den zur Entgegennahme von Prämienzahlungen ermächtigten Personen (Bevollmächtigten) übertragen will. In der Anzeige hat der Versicherer alle Bevollmächtigten, denen er die Erfüllung der Steuerpflicht übertragen hat, unter Angabe ihres Wohnsitzes (Sitzes, Geschäftsleitung) und des Umfangs der Übertragung aufzuführen.</w:t>
      </w:r>
    </w:p>
    <w:p>
      <w:r>
        <w:t xml:space="preserve">(3) Veränderungen gegenüber den in der Anzeige nach den Absätzen 1 und 2 gemachten Angaben hat der Versicherer binnen zwei Wochen dem Bundeszentralamt für Steuern zu erklären.</w:t>
      </w:r>
    </w:p>
    <w:p>
      <w:r>
        <w:t xml:space="preserve">(4) Die Absätze 1 bis 3 gelten entsprechend für eine inländische Zweigniederlassung eines Drittlandversicherers im Sinne des Versicherungsaufsichtsgesetzes, der die Leitung des Geschäfts im Geltungsbereich des Gesetzes übertragen ist.</w:t>
      </w:r>
    </w:p>
    <w:p>
      <w:r>
        <w:rPr>
          <w:color w:val="555555"/>
          <w:sz w:val="17"/>
        </w:rPr>
        <w:t xml:space="preserve">Zitiervorschlag: § 2 VersStGDB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https://recht.nulegal.eu/gesetze/VersStGDB/2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