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VersStGDB — Berechnung und Entrichtung der Steuer im Pauschverfahren</w:t>
      </w:r>
    </w:p>
    <w:p>
      <w:r>
        <w:rPr>
          <w:color w:val="555555"/>
          <w:sz w:val="18"/>
        </w:rPr>
        <w:t xml:space="preserve">Versicherungsteuer-Durchführungsverordnung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Das Bundeszentralamt für Steuern kann in Fällen, in denen die Feststellung der Unterlagen für die Steuerfestsetzung unverhältnismäßig schwierig sein würde, die Berechnung und Entrichtung der Steuer im Pauschverfahren zulassen.</w:t>
      </w:r>
    </w:p>
    <w:p>
      <w:r>
        <w:rPr>
          <w:color w:val="555555"/>
          <w:sz w:val="17"/>
        </w:rPr>
        <w:t xml:space="preserve">Zitiervorschlag: § 13 VersStGDB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https://recht.nulegal.eu/gesetze/VersStGDB/13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