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 VersStGDB — Nachentrichtung</w:t>
      </w:r>
    </w:p>
    <w:p>
      <w:r>
        <w:rPr>
          <w:color w:val="555555"/>
          <w:sz w:val="18"/>
        </w:rPr>
        <w:t xml:space="preserve">Versicherungsteuer-Durchführungsverordnung</w:t>
      </w:r>
    </w:p>
    <w:p>
      <w:r>
        <w:rPr>
          <w:color w:val="555555"/>
          <w:sz w:val="18"/>
        </w:rPr>
        <w:t xml:space="preserve">Stand: 15.05.2021 (konsolidierte Textfassung, kein amtliches Inkrafttretensdatum)</w:t>
      </w:r>
    </w:p>
    <w:p>
      <w:r>
        <w:t xml:space="preserve">Die Nachentrichtung der Steuer in den Fällen des § 9 Absatz 5 und 6 des Gesetzes hat im Rahmen der Steueranmeldung für den Anmeldungszeitraum zu erfolgen, in dem der Steuerentrichtungspflichtige von den Umständen Kenntnis erlangt, die die Steuerpflicht begründen.</w:t>
      </w:r>
    </w:p>
    <w:p>
      <w:r>
        <w:rPr>
          <w:color w:val="555555"/>
          <w:sz w:val="17"/>
        </w:rPr>
        <w:t xml:space="preserve">Zitiervorschlag: § 12 VersStGDB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https://recht.nulegal.eu/gesetze/VersStGDB/12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