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VersStG — Anmeldung, Fälligkeit</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Der Steuerentrichtungsschuldner nach § 7 Absatz 2, 3, 4 oder Absatz 5 hat innerhalb von 15 Tagen nach Ablauf eines jeden Anmeldungszeitraums</w:t>
      </w:r>
    </w:p>
    <w:p>
      <w:pPr>
        <w:ind w:left="420"/>
      </w:pPr>
      <w:r>
        <w:t xml:space="preserve">1. eine Steuererklärung nach amtlich vorgeschriebenem Datensatz durch Datenfernübertragung zu übermitteln, in der er die im Anmeldungszeitraum entstandene Steuer selbst zu berechnen hat (Steueranmeldung), und</w:t>
      </w:r>
    </w:p>
    <w:p>
      <w:pPr>
        <w:ind w:left="420"/>
      </w:pPr>
      <w:r>
        <w:t xml:space="preserve">2. die im Anmeldungszeitraum entstandene Steuer zu entrichten.</w:t>
      </w:r>
    </w:p>
    <w:p>
      <w:r>
        <w:t xml:space="preserve">Auf Antrag kann das Bundeszentralamt für Steuern zur Vermeidung unbilliger Härten auf eine elektronische Übermittlung verzichten; in diesem Fall hat der Steuerentrichtungsschuldner die Steueranmeldung nach amtlich vorgeschriebenem Vordruck abzugeben.</w:t>
      </w:r>
    </w:p>
    <w:p>
      <w:r>
        <w:t xml:space="preserve">(2) Anmeldungszeitraum ist der Kalendermonat. Hat die Steuer für das vorangegangene Kalenderjahr insgesamt nicht mehr als 6 000 Euro betragen, so ist Anmeldungszeitraum das Kalendervierteljahr. Hat die Steuer für das vorangegangene Kalenderjahr nicht mehr als 1 000 Euro betragen, so ist Anmeldungszeitraum das Kalenderjahr.</w:t>
      </w:r>
    </w:p>
    <w:p>
      <w:r>
        <w:t xml:space="preserve">(3) Hat der Versicherungsnehmer nach § 7 Absatz 6 die Steuer zu entrichten, so hat er innerhalb von 15 Tagen nach Ablauf des Monats, in dem das Versicherungsentgelt gezahlt worden ist, eine Steueranmeldung nach amtlich vorgeschriebenem Datensatz durch Datenfernübertragung zu übermitteln und die selbst berechnete Steuer zu entrichten. Absatz 1 Satz 2 gilt entsprechend.</w:t>
      </w:r>
    </w:p>
    <w:p>
      <w:r>
        <w:t xml:space="preserve">(4) Gibt der zur Steueranmeldung und Steuerentrichtung Verpflichtete bis zum Ablauf der Anmeldungsfrist die Steueranmeldung nicht ab, so setzt das Bundeszentralamt für Steuern die Steuer fest.</w:t>
      </w:r>
    </w:p>
    <w:p>
      <w:r>
        <w:rPr>
          <w:color w:val="555555"/>
          <w:sz w:val="17"/>
        </w:rPr>
        <w:t xml:space="preserve">Zitiervorschlag: § 8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