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VersStG — Ausnahmen von der Besteuerung</w:t>
      </w:r>
    </w:p>
    <w:p>
      <w:r>
        <w:rPr>
          <w:color w:val="555555"/>
          <w:sz w:val="18"/>
        </w:rPr>
        <w:t xml:space="preserve">Versicherungsteuergesetz</w:t>
      </w:r>
    </w:p>
    <w:p>
      <w:r>
        <w:rPr>
          <w:color w:val="555555"/>
          <w:sz w:val="18"/>
        </w:rPr>
        <w:t xml:space="preserve">Stand: 15.05.2021 (konsolidierte Textfassung, kein amtliches Inkrafttretensdatum)</w:t>
      </w:r>
    </w:p>
    <w:p>
      <w:r>
        <w:t xml:space="preserve">(1) Von der Besteuerung ausgenommen ist die Zahlung des Versicherungsentgelts</w:t>
      </w:r>
    </w:p>
    <w:p>
      <w:pPr>
        <w:ind w:left="420"/>
      </w:pPr>
      <w:r>
        <w:t xml:space="preserve">1. für eine Rückversicherung;</w:t>
      </w:r>
    </w:p>
    <w:p>
      <w:pPr>
        <w:ind w:left="420"/>
      </w:pPr>
      <w:r>
        <w:t xml:space="preserve">2. für eine Versicherung, die bei Vereinigungen öffentlich-rechtlicher Körperschaften genommen wird, um Aufwendungen der öffentlich-rechtlichen Körperschaften für Ruhegehalt und Hinterbliebenenversorgung ihrer Mitglieder auszugleichen;</w:t>
      </w:r>
    </w:p>
    <w:p>
      <w:pPr>
        <w:ind w:left="420"/>
      </w:pPr>
      <w:r>
        <w:t xml:space="preserve">3. für eine Unfallversicherung nach dem Siebten Buch Sozialgesetzbuch, soweit sie nicht auf § 140 beruht;</w:t>
      </w:r>
    </w:p>
    <w:p>
      <w:pPr>
        <w:ind w:left="420"/>
      </w:pPr>
      <w:r>
        <w:t xml:space="preserve">4. für die Arbeitslosenversicherung nach dem Dritten Buch Sozialgesetzbuch sowie für eine Versicherung, die auf dem Aufwendungsausgleichsgesetz beruht; dies gilt auch für eine Versicherung, die bei einer Einrichtung im Sinne des § 12 Abs. 1 des Aufwendungsausgleichsgesetzes genommen wird;</w:t>
      </w:r>
    </w:p>
    <w:p>
      <w:pPr>
        <w:ind w:left="420"/>
      </w:pPr>
      <w:r>
        <w:t xml:space="preserve">5. für eine Versicherung, durch die Ansprüche auf Kapital-, Renten- oder sonstige Leistungen begründet werden</w:t>
      </w:r>
    </w:p>
    <w:p>
      <w:pPr>
        <w:ind w:left="780"/>
      </w:pPr>
      <w:r>
        <w:t xml:space="preserve">a) im Fall des Todes, des Erlebens oder des Alters oder</w:t>
      </w:r>
    </w:p>
    <w:p>
      <w:pPr>
        <w:ind w:left="780"/>
      </w:pPr>
      <w:r>
        <w:t xml:space="preserve">b) im Fall der Krankheit, der Pflegebedürftigkeit, der Berufs- oder der Erwerbsunfähigkeit oder der verminderten Erwerbsfähigkeit, sofern diese Ansprüche der Versorgung der natürlichen Person, bei der sich das versicherte Risiko realisiert (Risikoperson), oder der Versorgung von deren nahen Angehörigen im Sinne des § 7 des Pflegezeitgesetzes oder von deren Angehörigen im Sinne des § 15 der Abgabenordnung dienen.</w:t>
      </w:r>
    </w:p>
    <w:p>
      <w:pPr>
        <w:ind w:left="420"/>
      </w:pPr>
      <w:r>
        <w:t xml:space="preserve">Die Ausnahme von der Besteuerung nach Satz 1 gilt nicht für die Unfallversicherung, die Haftpflichtversicherung und sonstige Sachversicherungen. Nummer 3 bleibt unberührt;</w:t>
      </w:r>
    </w:p>
    <w:p>
      <w:pPr>
        <w:ind w:left="420"/>
      </w:pPr>
      <w:r>
        <w:t xml:space="preserve">5a. für eine Versicherung, die auf dem Vierten Abschnitt des Ersten Teils des Gesetzes zur Verbesserung der betrieblichen Altersversorgung vom 19. Dezember 1974 (BGBl. I S. 3610) beruht;</w:t>
      </w:r>
    </w:p>
    <w:p>
      <w:pPr>
        <w:ind w:left="420"/>
      </w:pPr>
      <w:r>
        <w:t xml:space="preserve">6. für eine Versicherung bei einer Lohnausgleichskasse, die von Tarifvertragsparteien errichtet worden ist, um Arbeitnehmer bei Arbeitsausfällen zu unterstützen;</w:t>
      </w:r>
    </w:p>
    <w:p>
      <w:pPr>
        <w:ind w:left="420"/>
      </w:pPr>
      <w:r>
        <w:t xml:space="preserve">7. für eine Vereinbarung im Sinne des § 2 Absatz 1, soweit sie die Gewährung von Unterstützungen bei Arbeitskampfmaßnahmen oder Maßregelung zum Gegenstand hat oder soweit sie die Gewährung von Rechtsschutz durch Gewerkschaften und Vereinigungen von Arbeitgebern oder durch Zusammenschlüsse dieser Berufsverbände für ihre Mitglieder oder für andere Berufsverbände mit vergleichbarer Ausrichtung und deren Mitglieder zum Gegenstand hat. Dies gilt auch, wenn die Gewährung von Rechtsschutz durch eine juristische Person erfolgt, deren Anteile sämtlich im wirtschaftlichen Eigentum einer der genannten Organisationen stehen und die ausschließlich Rechtsschutz für die Organisation und ihre Mitglieder entsprechend deren Satzung durchführt;</w:t>
      </w:r>
    </w:p>
    <w:p>
      <w:pPr>
        <w:ind w:left="420"/>
      </w:pPr>
      <w:r>
        <w:t xml:space="preserve">8. für eine Versicherung, die von einem der nachstehend bezeichneten Versicherungsnehmer genommen wird:</w:t>
      </w:r>
    </w:p>
    <w:p>
      <w:pPr>
        <w:ind w:left="780"/>
      </w:pPr>
      <w:r>
        <w:t xml:space="preserve">a) bei der Bundesrepublik Deutschland beglaubigte diplomatische Vertretungen außerdeutscher Staaten,</w:t>
      </w:r>
    </w:p>
    <w:p>
      <w:pPr>
        <w:ind w:left="780"/>
      </w:pPr>
      <w:r>
        <w:t xml:space="preserve">b) Mitglieder der unter Buchstabe a bezeichneten diplomatischen Vertretungen und Personen, die zum Geschäftspersonal dieser Vertretungen gehören und der inländischen Gerichtsbarkeit nicht unterliegen,</w:t>
      </w:r>
    </w:p>
    <w:p>
      <w:pPr>
        <w:ind w:left="780"/>
      </w:pPr>
      <w:r>
        <w:t xml:space="preserve">c) in der Bundesrepublik Deutschland zugelassene konsularische Vertretungen außerdeutscher Staaten, wenn der Leiter der Vertretung Angehöriger des Entsendestaates ist und außerhalb seines Amtes in der Bundesrepublik Deutschland keine Erwerbstätigkeit ausübt,</w:t>
      </w:r>
    </w:p>
    <w:p>
      <w:pPr>
        <w:ind w:left="780"/>
      </w:pPr>
      <w:r>
        <w:t xml:space="preserve">d) in der Bundesrepublik Deutschland zugelassene Konsularvertreter (Generalkonsuln, Konsuln, Vizekonsuln, Konsularagenten) und Personen, die zum Geschäftspersonal dieser Konsularvertreter gehören, wenn sie Angehörige des Entsendestaates sind und außerhalb ihres Amtes in der Bundesrepublik Deutschland keine Erwerbstätigkeit ausüben.</w:t>
      </w:r>
    </w:p>
    <w:p>
      <w:pPr>
        <w:ind w:left="420"/>
      </w:pPr>
      <w:r>
        <w:t xml:space="preserve">Die Steuerbefreiung tritt nur ein, wenn Gegenseitigkeit gewährt wird;</w:t>
      </w:r>
    </w:p>
    <w:p>
      <w:pPr>
        <w:ind w:left="420"/>
      </w:pPr>
      <w:r>
        <w:t xml:space="preserve">9. für eine Versicherung von Vieh, wenn die Versicherungssumme 4 000 Euro nicht übersteigt. Hat ein Versicherungsnehmer bei demselben Versicherer mehrere Viehversicherungen abgeschlossen, so gilt die Ausnahme von der Besteuerung nur, wenn die versicherten Beträge zusammen die Freigrenze nicht übersteigen;</w:t>
      </w:r>
    </w:p>
    <w:p>
      <w:pPr>
        <w:ind w:left="420"/>
      </w:pPr>
      <w:r>
        <w:t xml:space="preserve">10. für eine Versicherung beförderter Güter gegen Verlust oder Beschädigung als Transportgüterversicherung einschließlich Valorenversicherung und Kriegsrisikoversicherung, wenn sich die Versicherung auf Güter bezieht, die ausschließlich im Ausland oder im grenzüberschreitenden Verkehr einschließlich der Durchfuhr befördert werden; dies gilt nicht bei der Beförderung von Gütern zwischen inländischen Orten, bei der die Güter nur zur Durchfuhr in das Ausland gelangen. Die Besteuerung der Zahlung des Versicherungsentgelts für eine Haftpflichtversicherung bleibt unberührt;</w:t>
      </w:r>
    </w:p>
    <w:p>
      <w:pPr>
        <w:ind w:left="420"/>
      </w:pPr>
      <w:r>
        <w:t xml:space="preserve">11. in Form von Umlagen, die von Beteiligten eines Erlöspools zum Zweck der Verteilung der gesamten dem jeweiligen Verteilungssystem unterliegenden, von den Mitgliedern im eigenen Namen und auf eigene Rechnung erzielten Nettoeinnahmen der Beteiligten nach einem vorbestimmten Schlüssel erhoben werden;</w:t>
      </w:r>
    </w:p>
    <w:p>
      <w:pPr>
        <w:ind w:left="420"/>
      </w:pPr>
      <w:r>
        <w:t xml:space="preserve">12. an Brandunterstützungsvereine, soweit die anlässlich eines einzelnen Schadensfalls erhobene Umlage den Betrag von 5 500 Euro nicht übersteigt.</w:t>
      </w:r>
    </w:p>
    <w:p>
      <w:r>
        <w:t xml:space="preserve">(2) Treten nach Zahlung eines Versicherungsentgelts Umstände ein, die im Falle ihres Vorliegens bei Zahlung des Versicherungsentgelts zu einer Steuerbefreiung im Sinne des § 4 Absatz 1 Nummer 5 Buchstabe b oder zu einer Steuerpflicht geführt hätten, so beginnt oder erlischt die Steuerbefreiung im Zeitpunkt des Eintritts der Umstände. Erlischt die Steuerbefreiung, beginnt die Festsetzungsfrist mit Ablauf des Kalenderjahres, in dem der Steuerentrichtungsschuldner oder die Finanzbehörde von dem Umstand Kenntnis erlangt, der zum Erlöschen der Steuerbefreiung führt.</w:t>
      </w:r>
    </w:p>
    <w:p>
      <w:r>
        <w:rPr>
          <w:color w:val="555555"/>
          <w:sz w:val="17"/>
        </w:rPr>
        <w:t xml:space="preserve">Zitiervorschlag: § 4 VersStG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https://recht.nulegal.eu/gesetze/VersStG/4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