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VersStG — Mitteilungspflicht</w:t>
      </w:r>
    </w:p>
    <w:p>
      <w:r>
        <w:rPr>
          <w:color w:val="555555"/>
          <w:sz w:val="18"/>
        </w:rPr>
        <w:t xml:space="preserve">Versicherungsteuergesetz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(1) Die mit der Aufsicht über die Versicherungsunternehmen betrauten Behörden teilen dem Bundeszentralamt für Steuern die zu ihrer Kenntnis gelangenden Versicherer mit.</w:t>
      </w:r>
    </w:p>
    <w:p>
      <w:r>
        <w:t xml:space="preserve">(2) Das Registergericht teilt Eintragungen von Vereinen oder Genossenschaften, die sich mit dem Abschluss von Versicherungen befassen, dem Bundeszentralamt für Steuern mit; das gilt auch dann, wenn die Vereine oder Genossenschaften ihre Leistungen als Unterstützungen ohne Rechtsanspruch bezeichnen.</w:t>
      </w:r>
    </w:p>
    <w:p>
      <w:r>
        <w:rPr>
          <w:color w:val="555555"/>
          <w:sz w:val="17"/>
        </w:rPr>
        <w:t xml:space="preserve">Zitiervorschlag: § 10a VersStG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https://recht.nulegal.eu/gesetze/VersStG/10a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