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VersRuhG</w:t>
      </w:r>
    </w:p>
    <w:p>
      <w:r>
        <w:rPr>
          <w:color w:val="555555"/>
          <w:sz w:val="18"/>
        </w:rPr>
        <w:t xml:space="preserve">Versorgungsruhensgesetz</w:t>
      </w:r>
    </w:p>
    <w:p>
      <w:r>
        <w:rPr>
          <w:color w:val="555555"/>
          <w:sz w:val="18"/>
        </w:rPr>
        <w:t xml:space="preserve">Stand: 19.01.2023 (konsolidierte Textfassung, kein amtliches Inkrafttretensdatum)</w:t>
      </w:r>
    </w:p>
    <w:p>
      <w:r>
        <w:t xml:space="preserve">Die Kommission nach § 3 in der bis zum 31. Dezember 2022 geltenden Fassung wird mit Wirkung zum 1. Januar 2023 aufgelöst. Zu diesem Zeitpunkt endet die Berufung der zu diesem Zeitpunkt der Kommission angehörenden Mitglieder.</w:t>
      </w:r>
    </w:p>
    <w:p>
      <w:r>
        <w:rPr>
          <w:color w:val="555555"/>
          <w:sz w:val="17"/>
        </w:rPr>
        <w:t xml:space="preserve">Zitiervorschlag: § 5 VersRuhG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https://recht.nulegal.eu/gesetze/VersRuhG/5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