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VersRuhG</w:t>
      </w:r>
    </w:p>
    <w:p>
      <w:r>
        <w:rPr>
          <w:color w:val="555555"/>
          <w:sz w:val="18"/>
        </w:rPr>
        <w:t xml:space="preserve">Versorgungsruhensgesetz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(1) Die Staatsanwaltschaft teilt dem Bundesamt für Soziale Sicherung mit, wenn sich der Berechtigte in den Fällen des § 1 Abs. 1 dem Strafverfahren durch Aufenthalt im Ausland entzieht und ein Ruhen des Anspruchs in Betracht kommt.</w:t>
      </w:r>
    </w:p>
    <w:p>
      <w:r>
        <w:t xml:space="preserve">(2) Soweit es zur Erfüllung ihrer Aufgabe erforderlich ist, kann das Bundesamt für Soziale Sicherung bei öffentlichen Stellen Auskünfte einholen und Akten einsehen.</w:t>
      </w:r>
    </w:p>
    <w:p>
      <w:r>
        <w:t xml:space="preserve">(3) (weggefallen)</w:t>
      </w:r>
    </w:p>
    <w:p>
      <w:r>
        <w:t xml:space="preserve">(4) Das Bundesamt für Soziale Sicherung kann bis zur endgültigen Entscheidung ein vorläufiges Ruhen der Versorgung anordnen. § 2 Absatz 2 gilt entsprechend.</w:t>
      </w:r>
    </w:p>
    <w:p>
      <w:r>
        <w:t xml:space="preserve">(5) Für die Übermittlung personenbezogener Daten und die Akteneinsicht gelten die für die übermittelnde oder Einsicht gewährende Stelle jeweils maßgebenden Regelungen.</w:t>
      </w:r>
    </w:p>
    <w:p>
      <w:r>
        <w:rPr>
          <w:color w:val="555555"/>
          <w:sz w:val="17"/>
        </w:rPr>
        <w:t xml:space="preserve">Zitiervorschlag: § 4 VersRuhG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https://recht.nulegal.eu/gesetze/VersRuhG/4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