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VersRuhG</w:t>
      </w:r>
    </w:p>
    <w:p>
      <w:r>
        <w:rPr>
          <w:color w:val="555555"/>
          <w:sz w:val="18"/>
        </w:rPr>
        <w:t xml:space="preserve">Versorgungsruhensgesetz</w:t>
      </w:r>
    </w:p>
    <w:p>
      <w:r>
        <w:rPr>
          <w:color w:val="555555"/>
          <w:sz w:val="18"/>
        </w:rPr>
        <w:t xml:space="preserve">Stand: 10.06.2019 (konsolidierte Textfassung, kein amtliches Inkrafttretensdatum)</w:t>
      </w:r>
    </w:p>
    <w:p>
      <w:r>
        <w:t xml:space="preserve">(1) Die Ansprüche auf Leistungen aus Sonder- oder Zusatzversorgungssystemen nach Anlage II Kapitel VIII Sachgebiet H Abschnitt III Nr. 9 Buchstabe b Ziffer 2 und Buchstabe e des Einigungsvertrages sowie die Ansprüche auf Ehrenpensionen und -renten im Sinne des Rentenangleichungsgesetzes vom 28. Juni 1990 (GBl. I Nr. 38 S. 495) in der Fassung der Anlage II Kapitel VIII Sachgebiet F Abschnitt III Nr. 8 des Einigungsvertrages und die Ansprüche auf Leistungen nach dem Fremdrentenrecht können zum Ruhen gebracht werden, wenn gegen den Berechtigten ein Strafverfahren wegen einer als Träger eines Staatsamtes oder Inhaber einer politischen oder gesellschaftlichen Funktion begangenen Straftat gegen das Leben oder einer anderen schwerwiegenden Straftat gegen die körperliche Unversehrtheit oder die persönliche Freiheit betrieben wird und der Berechtigte sich dem Strafverfahren durch Aufenthalt im Ausland entzieht.</w:t>
      </w:r>
    </w:p>
    <w:p>
      <w:r>
        <w:t xml:space="preserve">(2) Dieses Gesetz gilt auch für Ansprüche aus Sonder- oder Zusatzversorgungssystemen, die in die Rentenversicherung überführt worden sind.</w:t>
      </w:r>
    </w:p>
    <w:p>
      <w:r>
        <w:t xml:space="preserve">(3) Das Ruhen kann sich auch auf einen neben einem Anspruch auf eine Leistung nach Absatz 1 bestehenden Anspruch aus der Rentenversicherung und der freiwilligen Zusatzrentenversicherung des Beitrittsgebiets aus Versicherungszeiten zwischen dem 7. Oktober 1949 und dem 30. Juni 1990 beziehen.</w:t>
      </w:r>
    </w:p>
    <w:p>
      <w:r>
        <w:rPr>
          <w:color w:val="555555"/>
          <w:sz w:val="17"/>
        </w:rPr>
        <w:t xml:space="preserve">Zitiervorschlag: § 1 VersRuhG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https://recht.nulegal.eu/gesetze/VersRuhG/1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