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VersResAbV</w:t>
      </w:r>
    </w:p>
    <w:p>
      <w:r>
        <w:rPr>
          <w:color w:val="555555"/>
          <w:sz w:val="18"/>
        </w:rPr>
        <w:t xml:space="preserve">Versorgungsreserveabrufverordnung</w:t>
      </w:r>
    </w:p>
    <w:p>
      <w:r>
        <w:rPr>
          <w:color w:val="555555"/>
          <w:sz w:val="18"/>
        </w:rPr>
        <w:t xml:space="preserve">Stand: 05.10.2022 (konsolidierte Textfassung, kein amtliches Inkrafttretensdatum)</w:t>
      </w:r>
    </w:p>
    <w:p>
      <w:r>
        <w:t xml:space="preserve">Auf Grund des § 50d Absatz 2 Satz 2 in Verbindung mit Absatz 2 Satz 3 und 4 sowie Absatz 9 des Energiewirtschaftsgesetzes vom 7. Juli 2005 (BGBl. I S. 1970, 3621), der durch Artikel 1 Nummer 5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VersResAbV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https://recht.nulegal.eu/gesetze/VersResAbV/eingangsformel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