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6i. VersRMAbschR — Weitergeltung bisheriger Grundsätze</w:t>
      </w:r>
    </w:p>
    <w:p>
      <w:r>
        <w:rPr>
          <w:color w:val="555555"/>
          <w:sz w:val="18"/>
        </w:rPr>
        <w:t xml:space="preserve">Richtlinien zur Erstellung des Reichsmarkabschlusses und der Umstellungsrechnung der Versicherungsunternehmer</w:t>
      </w:r>
    </w:p>
    <w:p>
      <w:r>
        <w:rPr>
          <w:color w:val="555555"/>
          <w:sz w:val="18"/>
        </w:rPr>
        <w:t xml:space="preserve">Stand: 10.06.2019 (konsolidierte Textfassung, kein amtliches Inkrafttretensdatum)</w:t>
      </w:r>
    </w:p>
    <w:p>
      <w:r>
        <w:t xml:space="preserve">Soweit in den Vorschriften zur Neuordnung des Geldwesens und in diesen Richtlinien nichts Abweichendes bestimmt ist, gelten für die Reichsmarkschlußbilanz die für die vorangegangenen Jahresabschlüsse maßgebenden Grundsätze, insbesondere auch die von den Versicherungsaufsichtsbehörden für die Bilanzen ab 1945 erlassenen Bilanzierungsrichtlinien.</w:t>
      </w:r>
    </w:p>
    <w:p>
      <w:r>
        <w:rPr>
          <w:color w:val="555555"/>
          <w:sz w:val="17"/>
        </w:rPr>
        <w:t xml:space="preserve">Zitiervorschlag: 6i. VersRMAbschR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https://recht.nulegal.eu/gesetze/VersRMAbschR/6i.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